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1E166" w14:textId="77777777" w:rsidR="000A1A21" w:rsidRDefault="000A1A21">
      <w:pPr>
        <w:spacing w:after="160" w:line="259" w:lineRule="auto"/>
      </w:pPr>
    </w:p>
    <w:p w14:paraId="40D0CF69" w14:textId="77777777" w:rsidR="000A1A21" w:rsidRPr="00C50E5E" w:rsidRDefault="000A1A21" w:rsidP="00A01DFD">
      <w:pPr>
        <w:pStyle w:val="TitleHeading"/>
      </w:pPr>
      <w:r w:rsidRPr="00C50E5E">
        <w:t>DEVELOPMENT ASSESSMENT REPORT</w:t>
      </w:r>
    </w:p>
    <w:p w14:paraId="25B1C251" w14:textId="77777777" w:rsidR="008A49A3" w:rsidRPr="00C50E5E" w:rsidRDefault="000A1A21">
      <w:pPr>
        <w:spacing w:after="160" w:line="259" w:lineRule="auto"/>
        <w:rPr>
          <w:sz w:val="28"/>
          <w:szCs w:val="28"/>
        </w:rPr>
      </w:pPr>
      <w:r w:rsidRPr="00C50E5E">
        <w:rPr>
          <w:sz w:val="28"/>
          <w:szCs w:val="28"/>
        </w:rPr>
        <w:t xml:space="preserve">Proposed health services facility </w:t>
      </w:r>
    </w:p>
    <w:p w14:paraId="2F7868BB" w14:textId="77777777" w:rsidR="00C50E5E" w:rsidRDefault="008A49A3">
      <w:pPr>
        <w:spacing w:after="160" w:line="259" w:lineRule="auto"/>
        <w:rPr>
          <w:sz w:val="28"/>
          <w:szCs w:val="28"/>
        </w:rPr>
      </w:pPr>
      <w:r w:rsidRPr="00C50E5E">
        <w:rPr>
          <w:sz w:val="28"/>
          <w:szCs w:val="28"/>
        </w:rPr>
        <w:t>Bonney Street, Wilcannia</w:t>
      </w:r>
    </w:p>
    <w:p w14:paraId="39569677" w14:textId="77777777" w:rsidR="00C50E5E" w:rsidRDefault="00C50E5E">
      <w:pPr>
        <w:spacing w:after="160" w:line="259" w:lineRule="auto"/>
      </w:pPr>
    </w:p>
    <w:p w14:paraId="49D7267A" w14:textId="77777777" w:rsidR="00C50E5E" w:rsidRDefault="00C50E5E">
      <w:pPr>
        <w:spacing w:after="160" w:line="259" w:lineRule="auto"/>
      </w:pPr>
    </w:p>
    <w:p w14:paraId="5DEBE897" w14:textId="77777777" w:rsidR="00C50E5E" w:rsidRDefault="00C50E5E">
      <w:pPr>
        <w:spacing w:after="160" w:line="259" w:lineRule="auto"/>
      </w:pPr>
    </w:p>
    <w:p w14:paraId="3E46D3A1" w14:textId="77777777" w:rsidR="00C50E5E" w:rsidRDefault="00C50E5E">
      <w:pPr>
        <w:spacing w:after="160" w:line="259" w:lineRule="auto"/>
      </w:pPr>
      <w:r w:rsidRPr="00C50E5E">
        <w:rPr>
          <w:noProof/>
        </w:rPr>
        <w:drawing>
          <wp:inline distT="0" distB="0" distL="0" distR="0" wp14:anchorId="5D4B8F1D" wp14:editId="36BE358F">
            <wp:extent cx="5572125" cy="314161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1398" cy="3146847"/>
                    </a:xfrm>
                    <a:prstGeom prst="rect">
                      <a:avLst/>
                    </a:prstGeom>
                  </pic:spPr>
                </pic:pic>
              </a:graphicData>
            </a:graphic>
          </wp:inline>
        </w:drawing>
      </w:r>
    </w:p>
    <w:p w14:paraId="3E319B1C" w14:textId="77777777" w:rsidR="00C50E5E" w:rsidRDefault="00C50E5E">
      <w:pPr>
        <w:spacing w:after="160" w:line="259" w:lineRule="auto"/>
      </w:pPr>
    </w:p>
    <w:p w14:paraId="10184FED" w14:textId="77777777" w:rsidR="00C50E5E" w:rsidRDefault="00C50E5E">
      <w:pPr>
        <w:spacing w:after="160" w:line="259" w:lineRule="auto"/>
        <w:rPr>
          <w:sz w:val="28"/>
          <w:szCs w:val="28"/>
        </w:rPr>
      </w:pPr>
      <w:r>
        <w:rPr>
          <w:sz w:val="28"/>
          <w:szCs w:val="28"/>
        </w:rPr>
        <w:t>Environmental Assessment Report</w:t>
      </w:r>
    </w:p>
    <w:p w14:paraId="0FBEE6E8" w14:textId="77777777" w:rsidR="00C50E5E" w:rsidRDefault="00C50E5E">
      <w:pPr>
        <w:spacing w:after="160" w:line="259" w:lineRule="auto"/>
      </w:pPr>
      <w:r>
        <w:t>Section 4.15 of the Environmental Planning &amp; Assessment Act 1979</w:t>
      </w:r>
    </w:p>
    <w:p w14:paraId="29AD016A" w14:textId="77777777" w:rsidR="00C50E5E" w:rsidRDefault="00C50E5E">
      <w:pPr>
        <w:spacing w:after="160" w:line="259" w:lineRule="auto"/>
      </w:pPr>
    </w:p>
    <w:p w14:paraId="6D1BFCA6" w14:textId="77777777" w:rsidR="00C50E5E" w:rsidRDefault="00C50E5E">
      <w:pPr>
        <w:spacing w:after="160" w:line="259" w:lineRule="auto"/>
      </w:pPr>
    </w:p>
    <w:p w14:paraId="65B84E89" w14:textId="77777777" w:rsidR="00C50E5E" w:rsidRDefault="00C50E5E">
      <w:pPr>
        <w:spacing w:after="160" w:line="259" w:lineRule="auto"/>
      </w:pPr>
    </w:p>
    <w:p w14:paraId="6AA9BCB4" w14:textId="77777777" w:rsidR="00C50E5E" w:rsidRDefault="001F4D81">
      <w:pPr>
        <w:spacing w:after="160" w:line="259" w:lineRule="auto"/>
      </w:pPr>
      <w:r>
        <w:t>June</w:t>
      </w:r>
      <w:r w:rsidR="00C50E5E">
        <w:t xml:space="preserve"> 2022</w:t>
      </w:r>
    </w:p>
    <w:p w14:paraId="0CB9248E" w14:textId="77777777" w:rsidR="00C50E5E" w:rsidRDefault="00C50E5E">
      <w:pPr>
        <w:spacing w:after="160" w:line="259" w:lineRule="auto"/>
      </w:pPr>
    </w:p>
    <w:p w14:paraId="35BC02ED" w14:textId="77777777" w:rsidR="001F4D81" w:rsidRDefault="001F4D81">
      <w:pPr>
        <w:spacing w:after="160" w:line="259" w:lineRule="auto"/>
      </w:pPr>
    </w:p>
    <w:p w14:paraId="08C8FF70" w14:textId="77777777" w:rsidR="001F4D81" w:rsidRDefault="001F4D81">
      <w:pPr>
        <w:spacing w:after="160" w:line="259" w:lineRule="auto"/>
      </w:pPr>
    </w:p>
    <w:p w14:paraId="21FC2E27" w14:textId="77777777" w:rsidR="00C50E5E" w:rsidRPr="001F4D81" w:rsidRDefault="001F4D81">
      <w:pPr>
        <w:spacing w:after="160" w:line="259" w:lineRule="auto"/>
        <w:rPr>
          <w:b/>
          <w:sz w:val="16"/>
          <w:szCs w:val="16"/>
        </w:rPr>
      </w:pPr>
      <w:r w:rsidRPr="001F4D81">
        <w:rPr>
          <w:b/>
          <w:sz w:val="16"/>
          <w:szCs w:val="16"/>
        </w:rPr>
        <w:t>Prepared by Blacktown City Council on behalf of Central Darling Shire Council</w:t>
      </w:r>
    </w:p>
    <w:p w14:paraId="62834610" w14:textId="77777777" w:rsidR="00C50E5E" w:rsidRDefault="00C50E5E" w:rsidP="00C50E5E">
      <w:pPr>
        <w:pStyle w:val="TitleHeading"/>
      </w:pPr>
      <w:r>
        <w:lastRenderedPageBreak/>
        <w:t>EXECUTIVE SUMMARY</w:t>
      </w:r>
    </w:p>
    <w:p w14:paraId="6123C0FB" w14:textId="77777777" w:rsidR="00A01DFD" w:rsidRDefault="00A01DFD">
      <w:pPr>
        <w:spacing w:after="160" w:line="259" w:lineRule="auto"/>
      </w:pPr>
      <w:r>
        <w:t>This report provides an assessment of a</w:t>
      </w:r>
      <w:r w:rsidR="00A8157A">
        <w:t>n integrated</w:t>
      </w:r>
      <w:r>
        <w:t xml:space="preserve"> development application </w:t>
      </w:r>
      <w:r w:rsidR="001F4D81">
        <w:t xml:space="preserve">(DA20/21) (Panel Ref PPSWES-122) </w:t>
      </w:r>
      <w:r w:rsidR="00AC552E">
        <w:t xml:space="preserve">lodged on 1 December, 2021 </w:t>
      </w:r>
      <w:r>
        <w:t>for the re-development of land in Bonney Street, Wilcannia. The applicant is the Maari Ma Aboriginal Health Corporation Pty Ltd and the proposal is located within the Central Darling Shire Council local government area.</w:t>
      </w:r>
    </w:p>
    <w:p w14:paraId="33AF4FFA" w14:textId="77777777" w:rsidR="003F1533" w:rsidRDefault="00A01DFD">
      <w:pPr>
        <w:spacing w:after="160" w:line="259" w:lineRule="auto"/>
      </w:pPr>
      <w:r>
        <w:t>The proposal seeks approval for the construction of a single storey (but elevated over an undercroft area) health services facility</w:t>
      </w:r>
      <w:r w:rsidR="003F1533">
        <w:t xml:space="preserve">, split into 3 separate buildings connected by 2 </w:t>
      </w:r>
      <w:r w:rsidR="0041186C">
        <w:t>covered</w:t>
      </w:r>
      <w:r w:rsidR="003F1533">
        <w:t xml:space="preserve"> </w:t>
      </w:r>
      <w:r w:rsidR="0041186C">
        <w:t>walkways</w:t>
      </w:r>
      <w:r w:rsidR="003F1533">
        <w:t>. These 3 buildings will house a ‘keeping well’ section, ‘nerve centre’ and ‘healthy start’. The functions of these buildings will be outlined in more detail later in this report. The development also comprises civil works to provide car parking, road works to provide access/parking and landscaping throughout the site.</w:t>
      </w:r>
    </w:p>
    <w:p w14:paraId="679BE7C9" w14:textId="77777777" w:rsidR="00E73A09" w:rsidRDefault="003F1533">
      <w:pPr>
        <w:spacing w:after="160" w:line="259" w:lineRule="auto"/>
      </w:pPr>
      <w:r>
        <w:t>The land was recently reclassified from community land to operational land in accordance with Clause 5.2 (Classification and reclassification of public land) of Central Darling Local Environmental Plan 2012.</w:t>
      </w:r>
    </w:p>
    <w:p w14:paraId="6317EC2C" w14:textId="77777777" w:rsidR="00E73A09" w:rsidRDefault="00E73A09">
      <w:pPr>
        <w:spacing w:after="160" w:line="259" w:lineRule="auto"/>
      </w:pPr>
      <w:r>
        <w:t xml:space="preserve">The proposal has a capital investment value of </w:t>
      </w:r>
      <w:r w:rsidRPr="001F4D81">
        <w:t>$</w:t>
      </w:r>
      <w:r w:rsidR="001F4D81" w:rsidRPr="001F4D81">
        <w:t>6,356,659</w:t>
      </w:r>
      <w:r>
        <w:t>.</w:t>
      </w:r>
      <w:r w:rsidR="00AC552E">
        <w:t xml:space="preserve"> </w:t>
      </w:r>
      <w:r w:rsidR="001F4D81">
        <w:t>Accordingly, it is</w:t>
      </w:r>
      <w:r w:rsidR="00AC552E">
        <w:t xml:space="preserve"> Regionally Signi</w:t>
      </w:r>
      <w:r w:rsidR="005F69F2">
        <w:t>ficant Development under Part 2.4 and Schedule 6 of State Environmental Planning Policy (Planning Systems) 2021</w:t>
      </w:r>
      <w:r w:rsidR="00695DB1">
        <w:t xml:space="preserve"> (as it has a CIV of </w:t>
      </w:r>
      <w:r w:rsidR="001F4D81">
        <w:t>greater t</w:t>
      </w:r>
      <w:r w:rsidR="00695DB1">
        <w:t>han $5 million)</w:t>
      </w:r>
      <w:r w:rsidR="001F4D81">
        <w:t xml:space="preserve"> and is a ‘health services facility’</w:t>
      </w:r>
      <w:r w:rsidR="005F69F2">
        <w:t xml:space="preserve">.  </w:t>
      </w:r>
    </w:p>
    <w:p w14:paraId="27CC523E" w14:textId="77777777" w:rsidR="00E73A09" w:rsidRPr="001F4D81" w:rsidRDefault="00E73A09">
      <w:pPr>
        <w:spacing w:after="160" w:line="259" w:lineRule="auto"/>
      </w:pPr>
      <w:r w:rsidRPr="001F4D81">
        <w:t xml:space="preserve">The application was publicly exhibited until 18 February, 2022 and no submissions were received. </w:t>
      </w:r>
    </w:p>
    <w:p w14:paraId="647BCA78" w14:textId="77777777" w:rsidR="00E954C2" w:rsidRDefault="00E954C2">
      <w:pPr>
        <w:spacing w:after="160" w:line="259" w:lineRule="auto"/>
      </w:pPr>
      <w:r w:rsidRPr="00E954C2">
        <w:t xml:space="preserve">A </w:t>
      </w:r>
      <w:r w:rsidRPr="00E954C2">
        <w:rPr>
          <w:i/>
          <w:iCs/>
        </w:rPr>
        <w:t>Flood Study Report</w:t>
      </w:r>
      <w:r w:rsidRPr="00E954C2">
        <w:t xml:space="preserve"> was prepared for the Wilcannia Wellbeing Centre by Tonkin dated 1 April 2022.  The assessment is constrained by the lack of any overall flood study for the Darling River around Wilcannia to establish a definitive 1% AEP flood level.  This means that the evidence based on historical flood records </w:t>
      </w:r>
      <w:r>
        <w:t>is</w:t>
      </w:r>
      <w:r w:rsidRPr="00E954C2">
        <w:t xml:space="preserve"> necessary to determine the appropriateness of the nominated floor level in the proposed design.</w:t>
      </w:r>
    </w:p>
    <w:p w14:paraId="7C135567" w14:textId="77777777" w:rsidR="00E954C2" w:rsidRPr="00E954C2" w:rsidRDefault="00E954C2" w:rsidP="00E954C2">
      <w:pPr>
        <w:spacing w:after="160" w:line="259" w:lineRule="auto"/>
      </w:pPr>
      <w:r w:rsidRPr="00E954C2">
        <w:t xml:space="preserve">The </w:t>
      </w:r>
      <w:r w:rsidRPr="00E954C2">
        <w:rPr>
          <w:i/>
          <w:iCs/>
        </w:rPr>
        <w:t xml:space="preserve">Flood Level, Wilcannia Health Clinic </w:t>
      </w:r>
      <w:r w:rsidRPr="00E954C2">
        <w:t>report by Barnson Pty Ltd dated 13</w:t>
      </w:r>
      <w:r>
        <w:t xml:space="preserve"> May 2021</w:t>
      </w:r>
      <w:r w:rsidRPr="00E954C2">
        <w:t xml:space="preserve"> identifie</w:t>
      </w:r>
      <w:r>
        <w:t>s</w:t>
      </w:r>
      <w:r w:rsidRPr="00E954C2">
        <w:t xml:space="preserve"> that the proposed floor level of RL 77.42 m AHD matches the floor level of the adjacent hospital</w:t>
      </w:r>
      <w:r w:rsidR="00936749">
        <w:t>.</w:t>
      </w:r>
      <w:r w:rsidRPr="00E954C2">
        <w:t xml:space="preserve"> Based on this and the assessment </w:t>
      </w:r>
      <w:r>
        <w:t>undertaken by the consultant and Blacktown City Council’s Stormwater Engineer,</w:t>
      </w:r>
      <w:r w:rsidRPr="00E954C2">
        <w:t xml:space="preserve"> the proposed finished floor level of 77.42 m AHD is supported.</w:t>
      </w:r>
    </w:p>
    <w:p w14:paraId="0CC03B45" w14:textId="77777777" w:rsidR="00E954C2" w:rsidRPr="00E954C2" w:rsidRDefault="00E954C2" w:rsidP="00E954C2">
      <w:pPr>
        <w:spacing w:after="160" w:line="259" w:lineRule="auto"/>
      </w:pPr>
      <w:r w:rsidRPr="00E954C2">
        <w:t xml:space="preserve">To better manage the </w:t>
      </w:r>
      <w:r w:rsidR="00936749">
        <w:t xml:space="preserve">potential impacts of </w:t>
      </w:r>
      <w:r w:rsidRPr="00E954C2">
        <w:t xml:space="preserve">flooding, additional conditions have been </w:t>
      </w:r>
      <w:r w:rsidR="00936749">
        <w:t xml:space="preserve">recommended </w:t>
      </w:r>
      <w:r w:rsidRPr="00E954C2">
        <w:t xml:space="preserve">to ensure structural protection to the buildings during a flood and by requiring a flood management plan to better manage the impacts of the floods both during and after a major </w:t>
      </w:r>
      <w:r w:rsidR="00936749">
        <w:t>event</w:t>
      </w:r>
      <w:r w:rsidRPr="00E954C2">
        <w:t>.</w:t>
      </w:r>
    </w:p>
    <w:p w14:paraId="45AE7A71" w14:textId="77777777" w:rsidR="00E73A09" w:rsidRDefault="00E73A09">
      <w:pPr>
        <w:spacing w:after="160" w:line="259" w:lineRule="auto"/>
      </w:pPr>
      <w:r>
        <w:t xml:space="preserve">Our assessment concludes that the built form of the proposed development is acceptable within the context of the surrounding residential area, the hospital, the </w:t>
      </w:r>
      <w:r w:rsidR="00AC552E">
        <w:t>Darling R</w:t>
      </w:r>
      <w:r>
        <w:t>iver, foreshore and nearby items of environmental heritage and will not result in any adverse environmental or amenity impacts on the site or the wider locality.</w:t>
      </w:r>
    </w:p>
    <w:p w14:paraId="519C199E" w14:textId="77777777" w:rsidR="00E73A09" w:rsidRDefault="00E73A09">
      <w:pPr>
        <w:spacing w:after="160" w:line="259" w:lineRule="auto"/>
      </w:pPr>
      <w:r>
        <w:t xml:space="preserve">We are also satisfied that the traffic and parking generated by the proposed development can be accommodated within the local road network. </w:t>
      </w:r>
      <w:r w:rsidR="0041186C">
        <w:t>Any n</w:t>
      </w:r>
      <w:r>
        <w:t xml:space="preserve">oise impacts would be appropriately managed through recommended conditions of consent. </w:t>
      </w:r>
    </w:p>
    <w:p w14:paraId="6C8F90B2" w14:textId="77777777" w:rsidR="0041186C" w:rsidRDefault="0041186C">
      <w:pPr>
        <w:spacing w:after="160" w:line="259" w:lineRule="auto"/>
      </w:pPr>
      <w:r>
        <w:t>We consider that the proposal would provide significant public benefits as it will deliver health infrastructure and services for the community, particularly the Aboriginal community of Wilcannia and its surrounds</w:t>
      </w:r>
      <w:r w:rsidR="001F4D81">
        <w:t>, without unreasonably affecting public access to the Darling River</w:t>
      </w:r>
      <w:r>
        <w:t xml:space="preserve">. It will improve health services in the region, reduce pressure on the local hospital and upgrade </w:t>
      </w:r>
      <w:r w:rsidR="00936749">
        <w:t xml:space="preserve">an </w:t>
      </w:r>
      <w:r>
        <w:t xml:space="preserve">existing </w:t>
      </w:r>
      <w:r w:rsidR="00936749">
        <w:t>service located elsewhere in the town</w:t>
      </w:r>
      <w:r>
        <w:t xml:space="preserve"> in a more accessible manner. </w:t>
      </w:r>
    </w:p>
    <w:p w14:paraId="5AAEF5BF" w14:textId="77777777" w:rsidR="0041186C" w:rsidRDefault="0041186C">
      <w:pPr>
        <w:spacing w:after="160" w:line="259" w:lineRule="auto"/>
      </w:pPr>
      <w:r>
        <w:t>W</w:t>
      </w:r>
      <w:r w:rsidR="00AC552E">
        <w:t>e</w:t>
      </w:r>
      <w:r>
        <w:t xml:space="preserve"> conclude that the impacts of the development are acceptable</w:t>
      </w:r>
      <w:r w:rsidR="00AC552E">
        <w:t xml:space="preserve"> and can be appropriately mitigated through the recommended conditions of consent. We believe that the development is in the public interest and should be approved, subject to conditions.</w:t>
      </w:r>
    </w:p>
    <w:p w14:paraId="05168E9C" w14:textId="77777777" w:rsidR="002C7507" w:rsidRPr="00AA604B" w:rsidRDefault="002C7507">
      <w:pPr>
        <w:spacing w:after="160" w:line="259" w:lineRule="auto"/>
        <w:rPr>
          <w:b/>
        </w:rPr>
      </w:pPr>
      <w:r w:rsidRPr="00AA604B">
        <w:rPr>
          <w:b/>
        </w:rPr>
        <w:lastRenderedPageBreak/>
        <w:t>Table of contents</w:t>
      </w:r>
    </w:p>
    <w:p w14:paraId="4D69B191" w14:textId="77777777" w:rsidR="00695DB1" w:rsidRPr="009D27AF" w:rsidRDefault="002C7507" w:rsidP="002C7507">
      <w:pPr>
        <w:pStyle w:val="Heading1Numbered"/>
        <w:spacing w:before="0" w:after="0"/>
        <w:rPr>
          <w:sz w:val="22"/>
          <w:szCs w:val="22"/>
        </w:rPr>
      </w:pPr>
      <w:r w:rsidRPr="009D27AF">
        <w:rPr>
          <w:sz w:val="22"/>
          <w:szCs w:val="22"/>
        </w:rPr>
        <w:t>BACKGROUND</w:t>
      </w:r>
      <w:r w:rsidR="00CF1DDD" w:rsidRPr="009D27AF">
        <w:rPr>
          <w:sz w:val="22"/>
          <w:szCs w:val="22"/>
        </w:rPr>
        <w:tab/>
      </w:r>
      <w:r w:rsidR="00CF1DDD" w:rsidRPr="009D27AF">
        <w:rPr>
          <w:sz w:val="22"/>
          <w:szCs w:val="22"/>
        </w:rPr>
        <w:tab/>
      </w:r>
      <w:r w:rsidR="00CF1DDD" w:rsidRPr="009D27AF">
        <w:rPr>
          <w:sz w:val="22"/>
          <w:szCs w:val="22"/>
        </w:rPr>
        <w:tab/>
      </w:r>
      <w:r w:rsidR="00CF1DDD" w:rsidRPr="009D27AF">
        <w:rPr>
          <w:sz w:val="22"/>
          <w:szCs w:val="22"/>
        </w:rPr>
        <w:tab/>
      </w:r>
      <w:r w:rsidR="00CF1DDD" w:rsidRPr="009D27AF">
        <w:rPr>
          <w:sz w:val="22"/>
          <w:szCs w:val="22"/>
        </w:rPr>
        <w:tab/>
      </w:r>
      <w:r w:rsidR="00CF1DDD" w:rsidRPr="009D27AF">
        <w:rPr>
          <w:sz w:val="22"/>
          <w:szCs w:val="22"/>
        </w:rPr>
        <w:tab/>
      </w:r>
      <w:r w:rsidR="00CF1DDD" w:rsidRPr="009D27AF">
        <w:rPr>
          <w:sz w:val="22"/>
          <w:szCs w:val="22"/>
        </w:rPr>
        <w:tab/>
      </w:r>
      <w:r w:rsidR="00CF1DDD" w:rsidRPr="009D27AF">
        <w:rPr>
          <w:sz w:val="22"/>
          <w:szCs w:val="22"/>
        </w:rPr>
        <w:tab/>
      </w:r>
      <w:r w:rsidR="00CF1DDD" w:rsidRPr="009D27AF">
        <w:rPr>
          <w:sz w:val="22"/>
          <w:szCs w:val="22"/>
        </w:rPr>
        <w:tab/>
      </w:r>
    </w:p>
    <w:p w14:paraId="6ACDD8AC" w14:textId="77777777" w:rsidR="00695DB1" w:rsidRPr="002C7507" w:rsidRDefault="00695DB1" w:rsidP="002C7507">
      <w:pPr>
        <w:pStyle w:val="Heading2Numbered"/>
        <w:spacing w:before="0" w:after="0"/>
        <w:ind w:left="1418"/>
        <w:rPr>
          <w:b w:val="0"/>
          <w:sz w:val="20"/>
          <w:szCs w:val="20"/>
        </w:rPr>
      </w:pPr>
      <w:r w:rsidRPr="002C7507">
        <w:rPr>
          <w:b w:val="0"/>
          <w:sz w:val="20"/>
          <w:szCs w:val="20"/>
        </w:rPr>
        <w:t>Introduction</w:t>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51452A" w:rsidRPr="002C7507">
        <w:rPr>
          <w:b w:val="0"/>
          <w:sz w:val="20"/>
          <w:szCs w:val="20"/>
        </w:rPr>
        <w:tab/>
      </w:r>
      <w:r w:rsidR="009D27AF">
        <w:rPr>
          <w:b w:val="0"/>
          <w:sz w:val="20"/>
          <w:szCs w:val="20"/>
        </w:rPr>
        <w:t>4</w:t>
      </w:r>
    </w:p>
    <w:p w14:paraId="75FE25E2" w14:textId="77777777" w:rsidR="002C7507" w:rsidRPr="002C7507" w:rsidRDefault="00695DB1" w:rsidP="002C7507">
      <w:pPr>
        <w:pStyle w:val="Heading2Numbered"/>
        <w:spacing w:before="0" w:after="0"/>
        <w:ind w:left="1418"/>
        <w:rPr>
          <w:b w:val="0"/>
          <w:sz w:val="20"/>
          <w:szCs w:val="20"/>
        </w:rPr>
      </w:pPr>
      <w:r w:rsidRPr="002C7507">
        <w:rPr>
          <w:b w:val="0"/>
          <w:sz w:val="20"/>
          <w:szCs w:val="20"/>
        </w:rPr>
        <w:t>The site and surroundings</w:t>
      </w:r>
      <w:r w:rsidR="002C7507" w:rsidRPr="002C7507">
        <w:rPr>
          <w:b w:val="0"/>
          <w:sz w:val="20"/>
          <w:szCs w:val="20"/>
        </w:rPr>
        <w:tab/>
      </w:r>
      <w:r w:rsidR="002C7507" w:rsidRPr="002C7507">
        <w:rPr>
          <w:b w:val="0"/>
          <w:sz w:val="20"/>
          <w:szCs w:val="20"/>
        </w:rPr>
        <w:tab/>
      </w:r>
      <w:r w:rsidR="002C7507" w:rsidRPr="002C7507">
        <w:rPr>
          <w:b w:val="0"/>
          <w:sz w:val="20"/>
          <w:szCs w:val="20"/>
        </w:rPr>
        <w:tab/>
      </w:r>
      <w:r w:rsidR="002C7507" w:rsidRPr="002C7507">
        <w:rPr>
          <w:b w:val="0"/>
          <w:sz w:val="20"/>
          <w:szCs w:val="20"/>
        </w:rPr>
        <w:tab/>
      </w:r>
      <w:r w:rsidR="002C7507" w:rsidRPr="002C7507">
        <w:rPr>
          <w:b w:val="0"/>
          <w:sz w:val="20"/>
          <w:szCs w:val="20"/>
        </w:rPr>
        <w:tab/>
      </w:r>
      <w:r w:rsidR="002C7507" w:rsidRPr="002C7507">
        <w:rPr>
          <w:b w:val="0"/>
          <w:sz w:val="20"/>
          <w:szCs w:val="20"/>
        </w:rPr>
        <w:tab/>
      </w:r>
      <w:r w:rsidR="002C7507" w:rsidRPr="002C7507">
        <w:rPr>
          <w:b w:val="0"/>
          <w:sz w:val="20"/>
          <w:szCs w:val="20"/>
        </w:rPr>
        <w:tab/>
      </w:r>
      <w:r w:rsidR="002C7507" w:rsidRPr="002C7507">
        <w:rPr>
          <w:b w:val="0"/>
          <w:sz w:val="20"/>
          <w:szCs w:val="20"/>
        </w:rPr>
        <w:tab/>
      </w:r>
      <w:r w:rsidR="009D27AF">
        <w:rPr>
          <w:b w:val="0"/>
          <w:sz w:val="20"/>
          <w:szCs w:val="20"/>
        </w:rPr>
        <w:t>4</w:t>
      </w:r>
    </w:p>
    <w:p w14:paraId="3200426B" w14:textId="77777777" w:rsidR="0024179E" w:rsidRPr="002C7507" w:rsidRDefault="0024179E" w:rsidP="002C7507">
      <w:pPr>
        <w:pStyle w:val="Heading2Numbered"/>
        <w:spacing w:before="0" w:after="0"/>
        <w:ind w:left="1418"/>
        <w:rPr>
          <w:b w:val="0"/>
          <w:sz w:val="20"/>
          <w:szCs w:val="20"/>
        </w:rPr>
      </w:pPr>
      <w:r w:rsidRPr="002C7507">
        <w:rPr>
          <w:b w:val="0"/>
          <w:sz w:val="20"/>
          <w:szCs w:val="20"/>
        </w:rPr>
        <w:t>Key issues</w:t>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51452A" w:rsidRPr="002C7507">
        <w:rPr>
          <w:b w:val="0"/>
          <w:sz w:val="20"/>
          <w:szCs w:val="20"/>
        </w:rPr>
        <w:tab/>
      </w:r>
      <w:r w:rsidR="009D27AF">
        <w:rPr>
          <w:b w:val="0"/>
          <w:sz w:val="20"/>
          <w:szCs w:val="20"/>
        </w:rPr>
        <w:t>6</w:t>
      </w:r>
    </w:p>
    <w:p w14:paraId="4F00CB53" w14:textId="77777777" w:rsidR="00695DB1" w:rsidRPr="009D27AF" w:rsidRDefault="00695DB1" w:rsidP="002C7507">
      <w:pPr>
        <w:pStyle w:val="Heading1Numbered"/>
        <w:spacing w:before="0" w:after="0"/>
        <w:rPr>
          <w:sz w:val="22"/>
          <w:szCs w:val="22"/>
        </w:rPr>
      </w:pPr>
      <w:bookmarkStart w:id="0" w:name="_Hlk100063181"/>
      <w:r w:rsidRPr="009D27AF">
        <w:rPr>
          <w:sz w:val="22"/>
          <w:szCs w:val="22"/>
        </w:rPr>
        <w:t>DESCRIPTION OF PROPOSAL</w:t>
      </w:r>
      <w:r w:rsidR="00CF1DDD" w:rsidRPr="009D27AF">
        <w:rPr>
          <w:sz w:val="22"/>
          <w:szCs w:val="22"/>
        </w:rPr>
        <w:tab/>
      </w:r>
      <w:r w:rsidR="00CF1DDD" w:rsidRPr="009D27AF">
        <w:rPr>
          <w:sz w:val="22"/>
          <w:szCs w:val="22"/>
        </w:rPr>
        <w:tab/>
      </w:r>
      <w:r w:rsidR="00CF1DDD" w:rsidRPr="009D27AF">
        <w:rPr>
          <w:sz w:val="22"/>
          <w:szCs w:val="22"/>
        </w:rPr>
        <w:tab/>
      </w:r>
      <w:r w:rsidR="00CF1DDD" w:rsidRPr="009D27AF">
        <w:rPr>
          <w:sz w:val="22"/>
          <w:szCs w:val="22"/>
        </w:rPr>
        <w:tab/>
      </w:r>
      <w:r w:rsidR="00CF1DDD" w:rsidRPr="009D27AF">
        <w:rPr>
          <w:sz w:val="22"/>
          <w:szCs w:val="22"/>
        </w:rPr>
        <w:tab/>
      </w:r>
    </w:p>
    <w:p w14:paraId="6C8521CA" w14:textId="77777777" w:rsidR="00695DB1" w:rsidRPr="002C7507" w:rsidRDefault="00695DB1" w:rsidP="002C7507">
      <w:pPr>
        <w:pStyle w:val="Heading2Numbered"/>
        <w:spacing w:before="0" w:after="0"/>
        <w:ind w:left="1418"/>
        <w:rPr>
          <w:b w:val="0"/>
          <w:sz w:val="20"/>
          <w:szCs w:val="20"/>
        </w:rPr>
      </w:pPr>
      <w:r w:rsidRPr="002C7507">
        <w:rPr>
          <w:b w:val="0"/>
          <w:sz w:val="20"/>
          <w:szCs w:val="20"/>
        </w:rPr>
        <w:t>Description of proposal</w:t>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2C7507">
        <w:rPr>
          <w:b w:val="0"/>
          <w:sz w:val="20"/>
          <w:szCs w:val="20"/>
        </w:rPr>
        <w:tab/>
      </w:r>
      <w:r w:rsidR="009D27AF">
        <w:rPr>
          <w:b w:val="0"/>
          <w:sz w:val="20"/>
          <w:szCs w:val="20"/>
        </w:rPr>
        <w:t>7</w:t>
      </w:r>
    </w:p>
    <w:p w14:paraId="4A6E3F23" w14:textId="77777777" w:rsidR="002C7507" w:rsidRPr="002C7507" w:rsidRDefault="00695DB1" w:rsidP="002C7507">
      <w:pPr>
        <w:pStyle w:val="Heading2Numbered"/>
        <w:spacing w:before="0" w:after="0"/>
        <w:ind w:left="1418"/>
        <w:rPr>
          <w:b w:val="0"/>
          <w:sz w:val="20"/>
          <w:szCs w:val="20"/>
        </w:rPr>
      </w:pPr>
      <w:r w:rsidRPr="002C7507">
        <w:rPr>
          <w:b w:val="0"/>
          <w:sz w:val="20"/>
          <w:szCs w:val="20"/>
        </w:rPr>
        <w:t>Project need and justification</w:t>
      </w:r>
      <w:r w:rsidR="002C7507">
        <w:rPr>
          <w:b w:val="0"/>
          <w:sz w:val="20"/>
          <w:szCs w:val="20"/>
        </w:rPr>
        <w:tab/>
      </w:r>
      <w:r w:rsidR="002C7507">
        <w:rPr>
          <w:b w:val="0"/>
          <w:sz w:val="20"/>
          <w:szCs w:val="20"/>
        </w:rPr>
        <w:tab/>
      </w:r>
      <w:r w:rsidR="002C7507">
        <w:rPr>
          <w:b w:val="0"/>
          <w:sz w:val="20"/>
          <w:szCs w:val="20"/>
        </w:rPr>
        <w:tab/>
      </w:r>
      <w:r w:rsidR="002C7507">
        <w:rPr>
          <w:b w:val="0"/>
          <w:sz w:val="20"/>
          <w:szCs w:val="20"/>
        </w:rPr>
        <w:tab/>
      </w:r>
      <w:r w:rsidR="002C7507">
        <w:rPr>
          <w:b w:val="0"/>
          <w:sz w:val="20"/>
          <w:szCs w:val="20"/>
        </w:rPr>
        <w:tab/>
      </w:r>
      <w:r w:rsidR="002C7507">
        <w:rPr>
          <w:b w:val="0"/>
          <w:sz w:val="20"/>
          <w:szCs w:val="20"/>
        </w:rPr>
        <w:tab/>
      </w:r>
      <w:r w:rsidR="002C7507">
        <w:rPr>
          <w:b w:val="0"/>
          <w:sz w:val="20"/>
          <w:szCs w:val="20"/>
        </w:rPr>
        <w:tab/>
      </w:r>
      <w:r w:rsidR="002C7507">
        <w:rPr>
          <w:b w:val="0"/>
          <w:sz w:val="20"/>
          <w:szCs w:val="20"/>
        </w:rPr>
        <w:tab/>
      </w:r>
      <w:r w:rsidR="009D27AF">
        <w:rPr>
          <w:b w:val="0"/>
          <w:sz w:val="20"/>
          <w:szCs w:val="20"/>
        </w:rPr>
        <w:t>8</w:t>
      </w:r>
    </w:p>
    <w:p w14:paraId="02790C31" w14:textId="77777777" w:rsidR="00695DB1" w:rsidRPr="002C7507" w:rsidRDefault="00695DB1" w:rsidP="002C7507">
      <w:pPr>
        <w:pStyle w:val="Heading2Numbered"/>
        <w:spacing w:before="0" w:after="0"/>
        <w:ind w:left="1418"/>
        <w:rPr>
          <w:b w:val="0"/>
          <w:sz w:val="20"/>
          <w:szCs w:val="20"/>
        </w:rPr>
      </w:pPr>
      <w:r w:rsidRPr="002C7507">
        <w:rPr>
          <w:b w:val="0"/>
          <w:sz w:val="20"/>
          <w:szCs w:val="20"/>
        </w:rPr>
        <w:t>Strategic context</w:t>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9D27AF">
        <w:rPr>
          <w:b w:val="0"/>
          <w:sz w:val="20"/>
          <w:szCs w:val="20"/>
        </w:rPr>
        <w:t>8</w:t>
      </w:r>
    </w:p>
    <w:p w14:paraId="78D56B8B" w14:textId="77777777" w:rsidR="00695DB1" w:rsidRPr="009D27AF" w:rsidRDefault="00695DB1" w:rsidP="002C7507">
      <w:pPr>
        <w:pStyle w:val="Heading1Numbered"/>
        <w:spacing w:before="0" w:after="0"/>
        <w:rPr>
          <w:sz w:val="22"/>
          <w:szCs w:val="22"/>
        </w:rPr>
      </w:pPr>
      <w:r w:rsidRPr="009D27AF">
        <w:rPr>
          <w:sz w:val="22"/>
          <w:szCs w:val="22"/>
        </w:rPr>
        <w:t>STATUTORY CONTEXT</w:t>
      </w:r>
      <w:r w:rsidR="00CF1DDD" w:rsidRPr="009D27AF">
        <w:rPr>
          <w:sz w:val="22"/>
          <w:szCs w:val="22"/>
        </w:rPr>
        <w:tab/>
      </w:r>
      <w:r w:rsidR="00CF1DDD" w:rsidRPr="009D27AF">
        <w:rPr>
          <w:sz w:val="22"/>
          <w:szCs w:val="22"/>
        </w:rPr>
        <w:tab/>
      </w:r>
      <w:r w:rsidR="00CF1DDD" w:rsidRPr="009D27AF">
        <w:rPr>
          <w:sz w:val="22"/>
          <w:szCs w:val="22"/>
        </w:rPr>
        <w:tab/>
      </w:r>
      <w:r w:rsidR="00CF1DDD" w:rsidRPr="009D27AF">
        <w:rPr>
          <w:sz w:val="22"/>
          <w:szCs w:val="22"/>
        </w:rPr>
        <w:tab/>
      </w:r>
      <w:r w:rsidR="00CF1DDD" w:rsidRPr="009D27AF">
        <w:rPr>
          <w:sz w:val="22"/>
          <w:szCs w:val="22"/>
        </w:rPr>
        <w:tab/>
      </w:r>
      <w:r w:rsidR="00CF1DDD" w:rsidRPr="009D27AF">
        <w:rPr>
          <w:sz w:val="22"/>
          <w:szCs w:val="22"/>
        </w:rPr>
        <w:tab/>
      </w:r>
      <w:r w:rsidR="00CF1DDD" w:rsidRPr="009D27AF">
        <w:rPr>
          <w:sz w:val="22"/>
          <w:szCs w:val="22"/>
        </w:rPr>
        <w:tab/>
      </w:r>
    </w:p>
    <w:p w14:paraId="2E8BB919" w14:textId="77777777" w:rsidR="00AB7910" w:rsidRDefault="00AB7910" w:rsidP="002C7507">
      <w:pPr>
        <w:pStyle w:val="Heading2Numbered"/>
        <w:spacing w:before="0" w:after="0"/>
        <w:ind w:left="1418"/>
        <w:rPr>
          <w:b w:val="0"/>
          <w:sz w:val="20"/>
          <w:szCs w:val="20"/>
        </w:rPr>
      </w:pPr>
      <w:r>
        <w:rPr>
          <w:b w:val="0"/>
          <w:sz w:val="20"/>
          <w:szCs w:val="20"/>
        </w:rPr>
        <w:t>Zoning</w:t>
      </w:r>
      <w:r>
        <w:rPr>
          <w:b w:val="0"/>
          <w:sz w:val="20"/>
          <w:szCs w:val="20"/>
        </w:rPr>
        <w:tab/>
      </w:r>
      <w:r>
        <w:rPr>
          <w:b w:val="0"/>
          <w:sz w:val="20"/>
          <w:szCs w:val="20"/>
        </w:rPr>
        <w:tab/>
      </w:r>
      <w:r>
        <w:rPr>
          <w:b w:val="0"/>
          <w:sz w:val="20"/>
          <w:szCs w:val="20"/>
        </w:rPr>
        <w:tab/>
      </w:r>
      <w:r>
        <w:rPr>
          <w:b w:val="0"/>
          <w:sz w:val="20"/>
          <w:szCs w:val="20"/>
        </w:rPr>
        <w:tab/>
      </w:r>
      <w:r>
        <w:rPr>
          <w:b w:val="0"/>
          <w:sz w:val="20"/>
          <w:szCs w:val="20"/>
        </w:rPr>
        <w:tab/>
      </w:r>
      <w:r>
        <w:rPr>
          <w:b w:val="0"/>
          <w:sz w:val="20"/>
          <w:szCs w:val="20"/>
        </w:rPr>
        <w:tab/>
      </w:r>
      <w:r>
        <w:rPr>
          <w:b w:val="0"/>
          <w:sz w:val="20"/>
          <w:szCs w:val="20"/>
        </w:rPr>
        <w:tab/>
      </w:r>
      <w:r>
        <w:rPr>
          <w:b w:val="0"/>
          <w:sz w:val="20"/>
          <w:szCs w:val="20"/>
        </w:rPr>
        <w:tab/>
      </w:r>
      <w:r>
        <w:rPr>
          <w:b w:val="0"/>
          <w:sz w:val="20"/>
          <w:szCs w:val="20"/>
        </w:rPr>
        <w:tab/>
      </w:r>
      <w:r>
        <w:rPr>
          <w:b w:val="0"/>
          <w:sz w:val="20"/>
          <w:szCs w:val="20"/>
        </w:rPr>
        <w:tab/>
      </w:r>
      <w:r>
        <w:rPr>
          <w:b w:val="0"/>
          <w:sz w:val="20"/>
          <w:szCs w:val="20"/>
        </w:rPr>
        <w:tab/>
        <w:t>9</w:t>
      </w:r>
    </w:p>
    <w:p w14:paraId="4148B964" w14:textId="77777777" w:rsidR="009D27AF" w:rsidRDefault="00695DB1" w:rsidP="002C7507">
      <w:pPr>
        <w:pStyle w:val="Heading2Numbered"/>
        <w:spacing w:before="0" w:after="0"/>
        <w:ind w:left="1418"/>
        <w:rPr>
          <w:b w:val="0"/>
          <w:sz w:val="20"/>
          <w:szCs w:val="20"/>
        </w:rPr>
      </w:pPr>
      <w:r w:rsidRPr="002C7507">
        <w:rPr>
          <w:b w:val="0"/>
          <w:sz w:val="20"/>
          <w:szCs w:val="20"/>
        </w:rPr>
        <w:t>Permissibility</w:t>
      </w:r>
      <w:r w:rsidR="009D27AF">
        <w:rPr>
          <w:b w:val="0"/>
          <w:sz w:val="20"/>
          <w:szCs w:val="20"/>
        </w:rPr>
        <w:tab/>
      </w:r>
      <w:r w:rsidR="009D27AF">
        <w:rPr>
          <w:b w:val="0"/>
          <w:sz w:val="20"/>
          <w:szCs w:val="20"/>
        </w:rPr>
        <w:tab/>
      </w:r>
      <w:r w:rsidR="009D27AF">
        <w:rPr>
          <w:b w:val="0"/>
          <w:sz w:val="20"/>
          <w:szCs w:val="20"/>
        </w:rPr>
        <w:tab/>
      </w:r>
      <w:r w:rsidR="009D27AF">
        <w:rPr>
          <w:b w:val="0"/>
          <w:sz w:val="20"/>
          <w:szCs w:val="20"/>
        </w:rPr>
        <w:tab/>
      </w:r>
      <w:r w:rsidR="009D27AF">
        <w:rPr>
          <w:b w:val="0"/>
          <w:sz w:val="20"/>
          <w:szCs w:val="20"/>
        </w:rPr>
        <w:tab/>
      </w:r>
      <w:r w:rsidR="009D27AF">
        <w:rPr>
          <w:b w:val="0"/>
          <w:sz w:val="20"/>
          <w:szCs w:val="20"/>
        </w:rPr>
        <w:tab/>
      </w:r>
      <w:r w:rsidR="009D27AF">
        <w:rPr>
          <w:b w:val="0"/>
          <w:sz w:val="20"/>
          <w:szCs w:val="20"/>
        </w:rPr>
        <w:tab/>
      </w:r>
      <w:r w:rsidR="009D27AF">
        <w:rPr>
          <w:b w:val="0"/>
          <w:sz w:val="20"/>
          <w:szCs w:val="20"/>
        </w:rPr>
        <w:tab/>
      </w:r>
      <w:r w:rsidR="009D27AF">
        <w:rPr>
          <w:b w:val="0"/>
          <w:sz w:val="20"/>
          <w:szCs w:val="20"/>
        </w:rPr>
        <w:tab/>
      </w:r>
      <w:r w:rsidR="009D27AF">
        <w:rPr>
          <w:b w:val="0"/>
          <w:sz w:val="20"/>
          <w:szCs w:val="20"/>
        </w:rPr>
        <w:tab/>
        <w:t>9</w:t>
      </w:r>
    </w:p>
    <w:p w14:paraId="1DFD0BD8" w14:textId="77777777" w:rsidR="00695DB1" w:rsidRPr="002C7507" w:rsidRDefault="009D27AF" w:rsidP="002C7507">
      <w:pPr>
        <w:pStyle w:val="Heading2Numbered"/>
        <w:spacing w:before="0" w:after="0"/>
        <w:ind w:left="1418"/>
        <w:rPr>
          <w:b w:val="0"/>
          <w:sz w:val="20"/>
          <w:szCs w:val="20"/>
        </w:rPr>
      </w:pPr>
      <w:r>
        <w:rPr>
          <w:b w:val="0"/>
          <w:sz w:val="20"/>
          <w:szCs w:val="20"/>
        </w:rPr>
        <w:t>Integrated Development</w:t>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Pr>
          <w:b w:val="0"/>
          <w:sz w:val="20"/>
          <w:szCs w:val="20"/>
        </w:rPr>
        <w:t>10</w:t>
      </w:r>
    </w:p>
    <w:p w14:paraId="0FBC2122" w14:textId="77777777" w:rsidR="00695DB1" w:rsidRPr="002C7507" w:rsidRDefault="0051452A" w:rsidP="002C7507">
      <w:pPr>
        <w:pStyle w:val="Heading2Numbered"/>
        <w:spacing w:before="0" w:after="0"/>
        <w:ind w:left="1418"/>
        <w:rPr>
          <w:b w:val="0"/>
          <w:sz w:val="20"/>
          <w:szCs w:val="20"/>
        </w:rPr>
      </w:pPr>
      <w:r w:rsidRPr="002C7507">
        <w:rPr>
          <w:b w:val="0"/>
          <w:sz w:val="20"/>
          <w:szCs w:val="20"/>
        </w:rPr>
        <w:t>Consideration of environmental planning instruments and DCPs</w:t>
      </w:r>
      <w:r w:rsidR="00CF1DDD" w:rsidRPr="002C7507">
        <w:rPr>
          <w:b w:val="0"/>
          <w:sz w:val="20"/>
          <w:szCs w:val="20"/>
        </w:rPr>
        <w:tab/>
      </w:r>
      <w:r w:rsidR="000F1783" w:rsidRPr="002C7507">
        <w:rPr>
          <w:b w:val="0"/>
          <w:sz w:val="20"/>
          <w:szCs w:val="20"/>
        </w:rPr>
        <w:tab/>
      </w:r>
      <w:r w:rsidR="002C7507" w:rsidRPr="002C7507">
        <w:rPr>
          <w:b w:val="0"/>
          <w:sz w:val="20"/>
          <w:szCs w:val="20"/>
        </w:rPr>
        <w:tab/>
      </w:r>
      <w:r w:rsidR="002C7507">
        <w:rPr>
          <w:b w:val="0"/>
          <w:sz w:val="20"/>
          <w:szCs w:val="20"/>
        </w:rPr>
        <w:tab/>
      </w:r>
      <w:r w:rsidR="009D27AF">
        <w:rPr>
          <w:b w:val="0"/>
          <w:sz w:val="20"/>
          <w:szCs w:val="20"/>
        </w:rPr>
        <w:t>1</w:t>
      </w:r>
      <w:r w:rsidR="00AB7910">
        <w:rPr>
          <w:b w:val="0"/>
          <w:sz w:val="20"/>
          <w:szCs w:val="20"/>
        </w:rPr>
        <w:t>1</w:t>
      </w:r>
    </w:p>
    <w:p w14:paraId="3F4FC9A7" w14:textId="77777777" w:rsidR="00C35970" w:rsidRPr="002C7507" w:rsidRDefault="0051452A" w:rsidP="002C7507">
      <w:pPr>
        <w:pStyle w:val="Heading2Numbered"/>
        <w:spacing w:before="0" w:after="0"/>
        <w:ind w:left="1418"/>
        <w:rPr>
          <w:b w:val="0"/>
          <w:sz w:val="20"/>
          <w:szCs w:val="20"/>
        </w:rPr>
      </w:pPr>
      <w:r w:rsidRPr="002C7507">
        <w:rPr>
          <w:b w:val="0"/>
          <w:sz w:val="20"/>
          <w:szCs w:val="20"/>
        </w:rPr>
        <w:t>Objects of the Environmental Planning &amp; Assessment Act 1979</w:t>
      </w:r>
      <w:r w:rsidRPr="002C7507">
        <w:rPr>
          <w:b w:val="0"/>
          <w:sz w:val="20"/>
          <w:szCs w:val="20"/>
        </w:rPr>
        <w:tab/>
      </w:r>
      <w:r w:rsidR="00CF1DDD" w:rsidRPr="002C7507">
        <w:rPr>
          <w:b w:val="0"/>
          <w:sz w:val="20"/>
          <w:szCs w:val="20"/>
        </w:rPr>
        <w:tab/>
      </w:r>
      <w:r w:rsidR="002C7507" w:rsidRPr="002C7507">
        <w:rPr>
          <w:b w:val="0"/>
          <w:sz w:val="20"/>
          <w:szCs w:val="20"/>
        </w:rPr>
        <w:tab/>
      </w:r>
      <w:r w:rsidR="002C7507">
        <w:rPr>
          <w:b w:val="0"/>
          <w:sz w:val="20"/>
          <w:szCs w:val="20"/>
        </w:rPr>
        <w:tab/>
      </w:r>
      <w:r w:rsidR="00AB7910">
        <w:rPr>
          <w:b w:val="0"/>
          <w:sz w:val="20"/>
          <w:szCs w:val="20"/>
        </w:rPr>
        <w:t>11</w:t>
      </w:r>
    </w:p>
    <w:p w14:paraId="72F7DD43" w14:textId="77777777" w:rsidR="00C35970" w:rsidRPr="009D27AF" w:rsidRDefault="00695DB1" w:rsidP="002C7507">
      <w:pPr>
        <w:pStyle w:val="Heading1Numbered"/>
        <w:spacing w:before="0" w:after="0"/>
        <w:rPr>
          <w:sz w:val="22"/>
          <w:szCs w:val="22"/>
        </w:rPr>
      </w:pPr>
      <w:r w:rsidRPr="009D27AF">
        <w:rPr>
          <w:sz w:val="22"/>
          <w:szCs w:val="22"/>
        </w:rPr>
        <w:t>CONSULTATIONS AND SUBMISSIONS</w:t>
      </w:r>
      <w:r w:rsidR="00CF1DDD" w:rsidRPr="009D27AF">
        <w:rPr>
          <w:sz w:val="22"/>
          <w:szCs w:val="22"/>
        </w:rPr>
        <w:tab/>
      </w:r>
      <w:r w:rsidR="00CF1DDD" w:rsidRPr="009D27AF">
        <w:rPr>
          <w:sz w:val="22"/>
          <w:szCs w:val="22"/>
        </w:rPr>
        <w:tab/>
      </w:r>
      <w:r w:rsidR="00CF1DDD" w:rsidRPr="009D27AF">
        <w:rPr>
          <w:sz w:val="22"/>
          <w:szCs w:val="22"/>
        </w:rPr>
        <w:tab/>
      </w:r>
    </w:p>
    <w:p w14:paraId="29F04C20" w14:textId="77777777" w:rsidR="00695DB1" w:rsidRPr="002C7507" w:rsidRDefault="00695DB1" w:rsidP="002C7507">
      <w:pPr>
        <w:pStyle w:val="Heading2Numbered"/>
        <w:spacing w:before="0" w:after="0"/>
        <w:ind w:left="1418"/>
        <w:rPr>
          <w:b w:val="0"/>
          <w:sz w:val="20"/>
          <w:szCs w:val="20"/>
        </w:rPr>
      </w:pPr>
      <w:r w:rsidRPr="002C7507">
        <w:rPr>
          <w:b w:val="0"/>
          <w:sz w:val="20"/>
          <w:szCs w:val="20"/>
        </w:rPr>
        <w:t>Exhibition</w:t>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9D27AF">
        <w:rPr>
          <w:b w:val="0"/>
          <w:sz w:val="20"/>
          <w:szCs w:val="20"/>
        </w:rPr>
        <w:t>1</w:t>
      </w:r>
      <w:r w:rsidR="00BC7E20">
        <w:rPr>
          <w:b w:val="0"/>
          <w:sz w:val="20"/>
          <w:szCs w:val="20"/>
        </w:rPr>
        <w:t>3</w:t>
      </w:r>
    </w:p>
    <w:p w14:paraId="02A539FA" w14:textId="77777777" w:rsidR="00695DB1" w:rsidRPr="002C7507" w:rsidRDefault="00695DB1" w:rsidP="002C7507">
      <w:pPr>
        <w:pStyle w:val="Heading2Numbered"/>
        <w:spacing w:before="0" w:after="0"/>
        <w:ind w:left="1418"/>
        <w:rPr>
          <w:b w:val="0"/>
          <w:sz w:val="20"/>
          <w:szCs w:val="20"/>
        </w:rPr>
      </w:pPr>
      <w:r w:rsidRPr="002C7507">
        <w:rPr>
          <w:b w:val="0"/>
          <w:sz w:val="20"/>
          <w:szCs w:val="20"/>
        </w:rPr>
        <w:t>Public authority submissions</w:t>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2C7507" w:rsidRPr="002C7507">
        <w:rPr>
          <w:b w:val="0"/>
          <w:sz w:val="20"/>
          <w:szCs w:val="20"/>
        </w:rPr>
        <w:tab/>
      </w:r>
      <w:r w:rsidR="009D27AF">
        <w:rPr>
          <w:b w:val="0"/>
          <w:sz w:val="20"/>
          <w:szCs w:val="20"/>
        </w:rPr>
        <w:t>1</w:t>
      </w:r>
      <w:r w:rsidR="00BC7E20">
        <w:rPr>
          <w:b w:val="0"/>
          <w:sz w:val="20"/>
          <w:szCs w:val="20"/>
        </w:rPr>
        <w:t>3</w:t>
      </w:r>
    </w:p>
    <w:p w14:paraId="17ADD0D6" w14:textId="77777777" w:rsidR="00695DB1" w:rsidRPr="009D27AF" w:rsidRDefault="00695DB1" w:rsidP="002C7507">
      <w:pPr>
        <w:pStyle w:val="Heading1Numbered"/>
        <w:spacing w:before="0" w:after="0"/>
        <w:rPr>
          <w:sz w:val="22"/>
          <w:szCs w:val="22"/>
        </w:rPr>
      </w:pPr>
      <w:r w:rsidRPr="009D27AF">
        <w:rPr>
          <w:sz w:val="22"/>
          <w:szCs w:val="22"/>
        </w:rPr>
        <w:t>ASSESSMENT</w:t>
      </w:r>
      <w:r w:rsidR="00CF1DDD" w:rsidRPr="009D27AF">
        <w:rPr>
          <w:sz w:val="22"/>
          <w:szCs w:val="22"/>
        </w:rPr>
        <w:t xml:space="preserve"> </w:t>
      </w:r>
      <w:r w:rsidR="00CF1DDD" w:rsidRPr="009D27AF">
        <w:rPr>
          <w:sz w:val="22"/>
          <w:szCs w:val="22"/>
        </w:rPr>
        <w:tab/>
      </w:r>
      <w:r w:rsidR="00CF1DDD" w:rsidRPr="009D27AF">
        <w:rPr>
          <w:sz w:val="22"/>
          <w:szCs w:val="22"/>
        </w:rPr>
        <w:tab/>
      </w:r>
      <w:r w:rsidR="00CF1DDD" w:rsidRPr="009D27AF">
        <w:rPr>
          <w:sz w:val="22"/>
          <w:szCs w:val="22"/>
        </w:rPr>
        <w:tab/>
      </w:r>
      <w:r w:rsidR="00CF1DDD" w:rsidRPr="009D27AF">
        <w:rPr>
          <w:sz w:val="22"/>
          <w:szCs w:val="22"/>
        </w:rPr>
        <w:tab/>
      </w:r>
      <w:r w:rsidR="00CF1DDD" w:rsidRPr="009D27AF">
        <w:rPr>
          <w:sz w:val="22"/>
          <w:szCs w:val="22"/>
        </w:rPr>
        <w:tab/>
      </w:r>
      <w:r w:rsidR="00CF1DDD" w:rsidRPr="009D27AF">
        <w:rPr>
          <w:sz w:val="22"/>
          <w:szCs w:val="22"/>
        </w:rPr>
        <w:tab/>
      </w:r>
      <w:r w:rsidR="00CF1DDD" w:rsidRPr="009D27AF">
        <w:rPr>
          <w:sz w:val="22"/>
          <w:szCs w:val="22"/>
        </w:rPr>
        <w:tab/>
      </w:r>
      <w:r w:rsidR="00CF1DDD" w:rsidRPr="009D27AF">
        <w:rPr>
          <w:sz w:val="22"/>
          <w:szCs w:val="22"/>
        </w:rPr>
        <w:tab/>
      </w:r>
      <w:r w:rsidR="00CF1DDD" w:rsidRPr="009D27AF">
        <w:rPr>
          <w:sz w:val="22"/>
          <w:szCs w:val="22"/>
        </w:rPr>
        <w:tab/>
      </w:r>
    </w:p>
    <w:p w14:paraId="0231713F" w14:textId="77777777" w:rsidR="00695DB1" w:rsidRPr="002C7507" w:rsidRDefault="00695DB1" w:rsidP="002C7507">
      <w:pPr>
        <w:pStyle w:val="Heading2Numbered"/>
        <w:numPr>
          <w:ilvl w:val="0"/>
          <w:numId w:val="0"/>
        </w:numPr>
        <w:spacing w:before="0" w:after="0"/>
        <w:ind w:firstLine="709"/>
        <w:rPr>
          <w:b w:val="0"/>
          <w:sz w:val="20"/>
          <w:szCs w:val="20"/>
        </w:rPr>
      </w:pPr>
      <w:r w:rsidRPr="002C7507">
        <w:rPr>
          <w:b w:val="0"/>
          <w:sz w:val="20"/>
          <w:szCs w:val="20"/>
        </w:rPr>
        <w:t>Section 4.15(1) matter for consideration</w:t>
      </w:r>
      <w:r w:rsidR="00CF1DDD" w:rsidRPr="002C7507">
        <w:rPr>
          <w:b w:val="0"/>
          <w:sz w:val="20"/>
          <w:szCs w:val="20"/>
        </w:rPr>
        <w:t xml:space="preserve"> </w:t>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0F1783" w:rsidRPr="002C7507">
        <w:rPr>
          <w:b w:val="0"/>
          <w:sz w:val="20"/>
          <w:szCs w:val="20"/>
        </w:rPr>
        <w:tab/>
      </w:r>
      <w:r w:rsidR="002C7507">
        <w:rPr>
          <w:b w:val="0"/>
          <w:sz w:val="20"/>
          <w:szCs w:val="20"/>
        </w:rPr>
        <w:tab/>
      </w:r>
      <w:r w:rsidR="009D27AF">
        <w:rPr>
          <w:b w:val="0"/>
          <w:sz w:val="20"/>
          <w:szCs w:val="20"/>
        </w:rPr>
        <w:t>1</w:t>
      </w:r>
      <w:r w:rsidR="00BC7E20">
        <w:rPr>
          <w:b w:val="0"/>
          <w:sz w:val="20"/>
          <w:szCs w:val="20"/>
        </w:rPr>
        <w:t>3</w:t>
      </w:r>
    </w:p>
    <w:p w14:paraId="3DD23DA7" w14:textId="77777777" w:rsidR="0051452A" w:rsidRPr="002C7507" w:rsidRDefault="0051452A" w:rsidP="002C7507">
      <w:pPr>
        <w:pStyle w:val="Heading2Numbered"/>
        <w:spacing w:before="0" w:after="0"/>
        <w:ind w:left="1418"/>
        <w:rPr>
          <w:b w:val="0"/>
          <w:sz w:val="20"/>
          <w:szCs w:val="20"/>
        </w:rPr>
      </w:pPr>
      <w:r w:rsidRPr="002C7507">
        <w:rPr>
          <w:b w:val="0"/>
          <w:sz w:val="20"/>
          <w:szCs w:val="20"/>
        </w:rPr>
        <w:t>Environmental Planning Instruments</w:t>
      </w:r>
      <w:r w:rsidR="00BC7E20">
        <w:rPr>
          <w:b w:val="0"/>
          <w:sz w:val="20"/>
          <w:szCs w:val="20"/>
        </w:rPr>
        <w:tab/>
      </w:r>
      <w:r w:rsidR="00BC7E20">
        <w:rPr>
          <w:b w:val="0"/>
          <w:sz w:val="20"/>
          <w:szCs w:val="20"/>
        </w:rPr>
        <w:tab/>
      </w:r>
      <w:r w:rsidR="00BC7E20">
        <w:rPr>
          <w:b w:val="0"/>
          <w:sz w:val="20"/>
          <w:szCs w:val="20"/>
        </w:rPr>
        <w:tab/>
      </w:r>
      <w:r w:rsidR="00BC7E20">
        <w:rPr>
          <w:b w:val="0"/>
          <w:sz w:val="20"/>
          <w:szCs w:val="20"/>
        </w:rPr>
        <w:tab/>
      </w:r>
      <w:r w:rsidR="00BC7E20">
        <w:rPr>
          <w:b w:val="0"/>
          <w:sz w:val="20"/>
          <w:szCs w:val="20"/>
        </w:rPr>
        <w:tab/>
      </w:r>
      <w:r w:rsidR="00BC7E20">
        <w:rPr>
          <w:b w:val="0"/>
          <w:sz w:val="20"/>
          <w:szCs w:val="20"/>
        </w:rPr>
        <w:tab/>
      </w:r>
      <w:r w:rsidR="00BC7E20">
        <w:rPr>
          <w:b w:val="0"/>
          <w:sz w:val="20"/>
          <w:szCs w:val="20"/>
        </w:rPr>
        <w:tab/>
        <w:t>13</w:t>
      </w:r>
    </w:p>
    <w:p w14:paraId="4593F940" w14:textId="77777777" w:rsidR="0051452A" w:rsidRPr="002C7507" w:rsidRDefault="0051452A" w:rsidP="002C7507">
      <w:pPr>
        <w:pStyle w:val="Heading2Numbered"/>
        <w:numPr>
          <w:ilvl w:val="0"/>
          <w:numId w:val="0"/>
        </w:numPr>
        <w:spacing w:before="0" w:after="0"/>
        <w:ind w:left="1418"/>
        <w:rPr>
          <w:b w:val="0"/>
          <w:sz w:val="20"/>
          <w:szCs w:val="20"/>
        </w:rPr>
      </w:pPr>
      <w:r w:rsidRPr="002C7507">
        <w:rPr>
          <w:b w:val="0"/>
          <w:sz w:val="20"/>
          <w:szCs w:val="20"/>
        </w:rPr>
        <w:t>State Environmental Planning Policy (Planning Systems) 2021</w:t>
      </w:r>
      <w:r w:rsidRPr="002C7507">
        <w:rPr>
          <w:b w:val="0"/>
          <w:sz w:val="20"/>
          <w:szCs w:val="20"/>
        </w:rPr>
        <w:tab/>
      </w:r>
      <w:r w:rsidRPr="002C7507">
        <w:rPr>
          <w:b w:val="0"/>
          <w:sz w:val="20"/>
          <w:szCs w:val="20"/>
        </w:rPr>
        <w:tab/>
      </w:r>
      <w:r w:rsidR="000F1783" w:rsidRPr="002C7507">
        <w:rPr>
          <w:b w:val="0"/>
          <w:sz w:val="20"/>
          <w:szCs w:val="20"/>
        </w:rPr>
        <w:tab/>
      </w:r>
      <w:r w:rsidR="002C7507">
        <w:rPr>
          <w:b w:val="0"/>
          <w:sz w:val="20"/>
          <w:szCs w:val="20"/>
        </w:rPr>
        <w:tab/>
      </w:r>
      <w:r w:rsidR="009D27AF">
        <w:rPr>
          <w:b w:val="0"/>
          <w:sz w:val="20"/>
          <w:szCs w:val="20"/>
        </w:rPr>
        <w:t>1</w:t>
      </w:r>
      <w:r w:rsidR="00BC7E20">
        <w:rPr>
          <w:b w:val="0"/>
          <w:sz w:val="20"/>
          <w:szCs w:val="20"/>
        </w:rPr>
        <w:t>3</w:t>
      </w:r>
    </w:p>
    <w:p w14:paraId="58CDE4F7" w14:textId="77777777" w:rsidR="0051452A" w:rsidRPr="002C7507" w:rsidRDefault="0051452A" w:rsidP="002C7507">
      <w:pPr>
        <w:pStyle w:val="Heading2Numbered"/>
        <w:numPr>
          <w:ilvl w:val="0"/>
          <w:numId w:val="0"/>
        </w:numPr>
        <w:spacing w:before="0" w:after="0"/>
        <w:ind w:left="1418"/>
        <w:rPr>
          <w:b w:val="0"/>
          <w:sz w:val="20"/>
          <w:szCs w:val="20"/>
        </w:rPr>
      </w:pPr>
      <w:r w:rsidRPr="002C7507">
        <w:rPr>
          <w:b w:val="0"/>
          <w:sz w:val="20"/>
          <w:szCs w:val="20"/>
        </w:rPr>
        <w:tab/>
        <w:t>State Environmental Planning Policy (Resilience and Hazards) 2021</w:t>
      </w:r>
      <w:r w:rsidRPr="002C7507">
        <w:rPr>
          <w:b w:val="0"/>
          <w:sz w:val="20"/>
          <w:szCs w:val="20"/>
        </w:rPr>
        <w:tab/>
      </w:r>
      <w:r w:rsidR="000F1783" w:rsidRPr="002C7507">
        <w:rPr>
          <w:b w:val="0"/>
          <w:sz w:val="20"/>
          <w:szCs w:val="20"/>
        </w:rPr>
        <w:tab/>
      </w:r>
      <w:r w:rsidR="002C7507">
        <w:rPr>
          <w:b w:val="0"/>
          <w:sz w:val="20"/>
          <w:szCs w:val="20"/>
        </w:rPr>
        <w:tab/>
      </w:r>
      <w:r w:rsidR="009D27AF">
        <w:rPr>
          <w:b w:val="0"/>
          <w:sz w:val="20"/>
          <w:szCs w:val="20"/>
        </w:rPr>
        <w:t>1</w:t>
      </w:r>
      <w:r w:rsidR="00BC7E20">
        <w:rPr>
          <w:b w:val="0"/>
          <w:sz w:val="20"/>
          <w:szCs w:val="20"/>
        </w:rPr>
        <w:t>3</w:t>
      </w:r>
    </w:p>
    <w:p w14:paraId="6DD5B3F7" w14:textId="77777777" w:rsidR="0051452A" w:rsidRPr="002C7507" w:rsidRDefault="0051452A" w:rsidP="002C7507">
      <w:pPr>
        <w:pStyle w:val="Heading2Numbered"/>
        <w:numPr>
          <w:ilvl w:val="0"/>
          <w:numId w:val="0"/>
        </w:numPr>
        <w:spacing w:before="0" w:after="0"/>
        <w:ind w:left="1418"/>
        <w:rPr>
          <w:rFonts w:cstheme="majorHAnsi"/>
          <w:b w:val="0"/>
          <w:sz w:val="20"/>
          <w:szCs w:val="20"/>
        </w:rPr>
      </w:pPr>
      <w:r w:rsidRPr="002C7507">
        <w:rPr>
          <w:b w:val="0"/>
          <w:sz w:val="20"/>
          <w:szCs w:val="20"/>
        </w:rPr>
        <w:tab/>
        <w:t>Ce</w:t>
      </w:r>
      <w:r w:rsidRPr="002C7507">
        <w:rPr>
          <w:rFonts w:cstheme="majorHAnsi"/>
          <w:b w:val="0"/>
          <w:sz w:val="20"/>
          <w:szCs w:val="20"/>
        </w:rPr>
        <w:t>ntral Darling Local Environmental Plan 2012</w:t>
      </w:r>
      <w:r w:rsidRPr="002C7507">
        <w:rPr>
          <w:rFonts w:cstheme="majorHAnsi"/>
          <w:b w:val="0"/>
          <w:sz w:val="20"/>
          <w:szCs w:val="20"/>
        </w:rPr>
        <w:tab/>
      </w:r>
      <w:r w:rsidRPr="002C7507">
        <w:rPr>
          <w:rFonts w:cstheme="majorHAnsi"/>
          <w:b w:val="0"/>
          <w:sz w:val="20"/>
          <w:szCs w:val="20"/>
        </w:rPr>
        <w:tab/>
      </w:r>
      <w:r w:rsidRPr="002C7507">
        <w:rPr>
          <w:rFonts w:cstheme="majorHAnsi"/>
          <w:b w:val="0"/>
          <w:sz w:val="20"/>
          <w:szCs w:val="20"/>
        </w:rPr>
        <w:tab/>
      </w:r>
      <w:r w:rsidRPr="002C7507">
        <w:rPr>
          <w:rFonts w:cstheme="majorHAnsi"/>
          <w:b w:val="0"/>
          <w:sz w:val="20"/>
          <w:szCs w:val="20"/>
        </w:rPr>
        <w:tab/>
      </w:r>
      <w:r w:rsidR="000F1783" w:rsidRPr="002C7507">
        <w:rPr>
          <w:rFonts w:cstheme="majorHAnsi"/>
          <w:b w:val="0"/>
          <w:sz w:val="20"/>
          <w:szCs w:val="20"/>
        </w:rPr>
        <w:tab/>
      </w:r>
      <w:r w:rsidR="002C7507">
        <w:rPr>
          <w:rFonts w:cstheme="majorHAnsi"/>
          <w:b w:val="0"/>
          <w:sz w:val="20"/>
          <w:szCs w:val="20"/>
        </w:rPr>
        <w:tab/>
      </w:r>
      <w:r w:rsidR="009D27AF">
        <w:rPr>
          <w:rFonts w:cstheme="majorHAnsi"/>
          <w:b w:val="0"/>
          <w:sz w:val="20"/>
          <w:szCs w:val="20"/>
        </w:rPr>
        <w:t>1</w:t>
      </w:r>
      <w:r w:rsidR="00BC7E20">
        <w:rPr>
          <w:rFonts w:cstheme="majorHAnsi"/>
          <w:b w:val="0"/>
          <w:sz w:val="20"/>
          <w:szCs w:val="20"/>
        </w:rPr>
        <w:t>5</w:t>
      </w:r>
    </w:p>
    <w:p w14:paraId="3A65FB93" w14:textId="77777777" w:rsidR="0051452A" w:rsidRPr="002C7507" w:rsidRDefault="00695DB1" w:rsidP="002C7507">
      <w:pPr>
        <w:pStyle w:val="Heading2Numbered"/>
        <w:spacing w:before="0" w:after="0"/>
        <w:ind w:left="1418"/>
        <w:rPr>
          <w:b w:val="0"/>
          <w:sz w:val="20"/>
          <w:szCs w:val="20"/>
        </w:rPr>
      </w:pPr>
      <w:r w:rsidRPr="002C7507">
        <w:rPr>
          <w:b w:val="0"/>
          <w:sz w:val="20"/>
          <w:szCs w:val="20"/>
        </w:rPr>
        <w:t>Key assessment issues</w:t>
      </w:r>
      <w:r w:rsidR="00CF1DDD" w:rsidRPr="002C7507">
        <w:rPr>
          <w:b w:val="0"/>
          <w:sz w:val="20"/>
          <w:szCs w:val="20"/>
        </w:rPr>
        <w:tab/>
      </w:r>
      <w:r w:rsidR="0051452A" w:rsidRPr="002C7507">
        <w:rPr>
          <w:b w:val="0"/>
          <w:sz w:val="20"/>
          <w:szCs w:val="20"/>
        </w:rPr>
        <w:tab/>
      </w:r>
      <w:r w:rsidR="0051452A" w:rsidRPr="002C7507">
        <w:rPr>
          <w:b w:val="0"/>
          <w:sz w:val="20"/>
          <w:szCs w:val="20"/>
        </w:rPr>
        <w:tab/>
      </w:r>
      <w:r w:rsidR="0051452A" w:rsidRPr="002C7507">
        <w:rPr>
          <w:b w:val="0"/>
          <w:sz w:val="20"/>
          <w:szCs w:val="20"/>
        </w:rPr>
        <w:tab/>
      </w:r>
      <w:r w:rsidR="0051452A" w:rsidRPr="002C7507">
        <w:rPr>
          <w:b w:val="0"/>
          <w:sz w:val="20"/>
          <w:szCs w:val="20"/>
        </w:rPr>
        <w:tab/>
      </w:r>
      <w:r w:rsidR="0051452A" w:rsidRPr="002C7507">
        <w:rPr>
          <w:b w:val="0"/>
          <w:sz w:val="20"/>
          <w:szCs w:val="20"/>
        </w:rPr>
        <w:tab/>
      </w:r>
      <w:r w:rsidR="0051452A" w:rsidRPr="002C7507">
        <w:rPr>
          <w:b w:val="0"/>
          <w:sz w:val="20"/>
          <w:szCs w:val="20"/>
        </w:rPr>
        <w:tab/>
      </w:r>
      <w:r w:rsidR="0051452A" w:rsidRPr="002C7507">
        <w:rPr>
          <w:b w:val="0"/>
          <w:sz w:val="20"/>
          <w:szCs w:val="20"/>
        </w:rPr>
        <w:tab/>
      </w:r>
      <w:r w:rsidR="002C7507">
        <w:rPr>
          <w:b w:val="0"/>
          <w:sz w:val="20"/>
          <w:szCs w:val="20"/>
        </w:rPr>
        <w:tab/>
      </w:r>
    </w:p>
    <w:p w14:paraId="7570FF28" w14:textId="77777777" w:rsidR="0051452A" w:rsidRPr="002C7507" w:rsidRDefault="0051452A" w:rsidP="002C7507">
      <w:pPr>
        <w:pStyle w:val="BodyText"/>
        <w:numPr>
          <w:ilvl w:val="5"/>
          <w:numId w:val="6"/>
        </w:numPr>
        <w:spacing w:after="0"/>
        <w:ind w:left="2127" w:hanging="786"/>
        <w:rPr>
          <w:rFonts w:asciiTheme="majorHAnsi" w:hAnsiTheme="majorHAnsi" w:cstheme="majorHAnsi"/>
          <w:sz w:val="20"/>
          <w:szCs w:val="20"/>
        </w:rPr>
      </w:pPr>
      <w:r w:rsidRPr="002C7507">
        <w:rPr>
          <w:rFonts w:asciiTheme="majorHAnsi" w:hAnsiTheme="majorHAnsi" w:cstheme="majorHAnsi"/>
          <w:sz w:val="20"/>
          <w:szCs w:val="20"/>
        </w:rPr>
        <w:t>Flooding</w:t>
      </w:r>
      <w:r w:rsidRPr="002C7507">
        <w:rPr>
          <w:rFonts w:asciiTheme="majorHAnsi" w:hAnsiTheme="majorHAnsi" w:cstheme="majorHAnsi"/>
          <w:sz w:val="20"/>
          <w:szCs w:val="20"/>
        </w:rPr>
        <w:tab/>
      </w:r>
      <w:r w:rsidRPr="002C7507">
        <w:rPr>
          <w:rFonts w:asciiTheme="majorHAnsi" w:hAnsiTheme="majorHAnsi" w:cstheme="majorHAnsi"/>
          <w:sz w:val="20"/>
          <w:szCs w:val="20"/>
        </w:rPr>
        <w:tab/>
      </w:r>
      <w:r w:rsidRPr="002C7507">
        <w:rPr>
          <w:rFonts w:asciiTheme="majorHAnsi" w:hAnsiTheme="majorHAnsi" w:cstheme="majorHAnsi"/>
          <w:sz w:val="20"/>
          <w:szCs w:val="20"/>
        </w:rPr>
        <w:tab/>
      </w:r>
      <w:r w:rsidRPr="002C7507">
        <w:rPr>
          <w:rFonts w:asciiTheme="majorHAnsi" w:hAnsiTheme="majorHAnsi" w:cstheme="majorHAnsi"/>
          <w:sz w:val="20"/>
          <w:szCs w:val="20"/>
        </w:rPr>
        <w:tab/>
      </w:r>
      <w:r w:rsidRPr="002C7507">
        <w:rPr>
          <w:rFonts w:asciiTheme="majorHAnsi" w:hAnsiTheme="majorHAnsi" w:cstheme="majorHAnsi"/>
          <w:sz w:val="20"/>
          <w:szCs w:val="20"/>
        </w:rPr>
        <w:tab/>
      </w:r>
      <w:r w:rsidRPr="002C7507">
        <w:rPr>
          <w:rFonts w:asciiTheme="majorHAnsi" w:hAnsiTheme="majorHAnsi" w:cstheme="majorHAnsi"/>
          <w:sz w:val="20"/>
          <w:szCs w:val="20"/>
        </w:rPr>
        <w:tab/>
      </w:r>
      <w:r w:rsidR="000F1783" w:rsidRPr="002C7507">
        <w:rPr>
          <w:rFonts w:asciiTheme="majorHAnsi" w:hAnsiTheme="majorHAnsi" w:cstheme="majorHAnsi"/>
          <w:sz w:val="20"/>
          <w:szCs w:val="20"/>
        </w:rPr>
        <w:tab/>
      </w:r>
      <w:r w:rsidR="000F1783" w:rsidRPr="002C7507">
        <w:rPr>
          <w:rFonts w:asciiTheme="majorHAnsi" w:hAnsiTheme="majorHAnsi" w:cstheme="majorHAnsi"/>
          <w:sz w:val="20"/>
          <w:szCs w:val="20"/>
        </w:rPr>
        <w:tab/>
      </w:r>
      <w:r w:rsidR="000F1783" w:rsidRPr="002C7507">
        <w:rPr>
          <w:rFonts w:asciiTheme="majorHAnsi" w:hAnsiTheme="majorHAnsi" w:cstheme="majorHAnsi"/>
          <w:sz w:val="20"/>
          <w:szCs w:val="20"/>
        </w:rPr>
        <w:tab/>
      </w:r>
      <w:r w:rsidR="009D27AF">
        <w:rPr>
          <w:rFonts w:asciiTheme="majorHAnsi" w:hAnsiTheme="majorHAnsi" w:cstheme="majorHAnsi"/>
          <w:sz w:val="20"/>
          <w:szCs w:val="20"/>
        </w:rPr>
        <w:t>22</w:t>
      </w:r>
    </w:p>
    <w:p w14:paraId="0AF989AF" w14:textId="77777777" w:rsidR="0051452A" w:rsidRPr="002C7507" w:rsidRDefault="0051452A" w:rsidP="002C7507">
      <w:pPr>
        <w:pStyle w:val="BodyText"/>
        <w:numPr>
          <w:ilvl w:val="5"/>
          <w:numId w:val="6"/>
        </w:numPr>
        <w:spacing w:after="0"/>
        <w:ind w:left="2127" w:hanging="786"/>
        <w:rPr>
          <w:rFonts w:asciiTheme="majorHAnsi" w:hAnsiTheme="majorHAnsi" w:cstheme="majorHAnsi"/>
          <w:sz w:val="20"/>
          <w:szCs w:val="20"/>
        </w:rPr>
      </w:pPr>
      <w:r w:rsidRPr="002C7507">
        <w:rPr>
          <w:rFonts w:asciiTheme="majorHAnsi" w:hAnsiTheme="majorHAnsi" w:cstheme="majorHAnsi"/>
          <w:sz w:val="20"/>
          <w:szCs w:val="20"/>
        </w:rPr>
        <w:t>Voluntary Planning Agreement</w:t>
      </w:r>
      <w:r w:rsidRPr="002C7507">
        <w:rPr>
          <w:rFonts w:asciiTheme="majorHAnsi" w:hAnsiTheme="majorHAnsi" w:cstheme="majorHAnsi"/>
          <w:sz w:val="20"/>
          <w:szCs w:val="20"/>
        </w:rPr>
        <w:tab/>
      </w:r>
      <w:r w:rsidRPr="002C7507">
        <w:rPr>
          <w:rFonts w:asciiTheme="majorHAnsi" w:hAnsiTheme="majorHAnsi" w:cstheme="majorHAnsi"/>
          <w:sz w:val="20"/>
          <w:szCs w:val="20"/>
        </w:rPr>
        <w:tab/>
      </w:r>
      <w:r w:rsidRPr="002C7507">
        <w:rPr>
          <w:rFonts w:asciiTheme="majorHAnsi" w:hAnsiTheme="majorHAnsi" w:cstheme="majorHAnsi"/>
          <w:sz w:val="20"/>
          <w:szCs w:val="20"/>
        </w:rPr>
        <w:tab/>
      </w:r>
      <w:r w:rsidRPr="002C7507">
        <w:rPr>
          <w:rFonts w:asciiTheme="majorHAnsi" w:hAnsiTheme="majorHAnsi" w:cstheme="majorHAnsi"/>
          <w:sz w:val="20"/>
          <w:szCs w:val="20"/>
        </w:rPr>
        <w:tab/>
      </w:r>
      <w:r w:rsidRPr="002C7507">
        <w:rPr>
          <w:rFonts w:asciiTheme="majorHAnsi" w:hAnsiTheme="majorHAnsi" w:cstheme="majorHAnsi"/>
          <w:sz w:val="20"/>
          <w:szCs w:val="20"/>
        </w:rPr>
        <w:tab/>
      </w:r>
      <w:r w:rsidRPr="002C7507">
        <w:rPr>
          <w:rFonts w:asciiTheme="majorHAnsi" w:hAnsiTheme="majorHAnsi" w:cstheme="majorHAnsi"/>
          <w:sz w:val="20"/>
          <w:szCs w:val="20"/>
        </w:rPr>
        <w:tab/>
      </w:r>
      <w:r w:rsidR="002C7507">
        <w:rPr>
          <w:rFonts w:asciiTheme="majorHAnsi" w:hAnsiTheme="majorHAnsi" w:cstheme="majorHAnsi"/>
          <w:sz w:val="20"/>
          <w:szCs w:val="20"/>
        </w:rPr>
        <w:tab/>
      </w:r>
      <w:r w:rsidR="009D27AF">
        <w:rPr>
          <w:rFonts w:asciiTheme="majorHAnsi" w:hAnsiTheme="majorHAnsi" w:cstheme="majorHAnsi"/>
          <w:sz w:val="20"/>
          <w:szCs w:val="20"/>
        </w:rPr>
        <w:t>23</w:t>
      </w:r>
    </w:p>
    <w:p w14:paraId="2223C4A2" w14:textId="77777777" w:rsidR="0051452A" w:rsidRPr="002C7507" w:rsidRDefault="0051452A" w:rsidP="002C7507">
      <w:pPr>
        <w:pStyle w:val="BodyText"/>
        <w:numPr>
          <w:ilvl w:val="5"/>
          <w:numId w:val="6"/>
        </w:numPr>
        <w:spacing w:after="0"/>
        <w:ind w:left="2127" w:hanging="786"/>
        <w:rPr>
          <w:rFonts w:asciiTheme="majorHAnsi" w:hAnsiTheme="majorHAnsi" w:cstheme="majorHAnsi"/>
          <w:sz w:val="20"/>
          <w:szCs w:val="20"/>
        </w:rPr>
      </w:pPr>
      <w:r w:rsidRPr="002C7507">
        <w:rPr>
          <w:rFonts w:asciiTheme="majorHAnsi" w:hAnsiTheme="majorHAnsi" w:cstheme="majorHAnsi"/>
          <w:sz w:val="20"/>
          <w:szCs w:val="20"/>
        </w:rPr>
        <w:t>Ownership</w:t>
      </w:r>
      <w:r w:rsidRPr="002C7507">
        <w:rPr>
          <w:rFonts w:asciiTheme="majorHAnsi" w:hAnsiTheme="majorHAnsi" w:cstheme="majorHAnsi"/>
          <w:sz w:val="20"/>
          <w:szCs w:val="20"/>
        </w:rPr>
        <w:tab/>
      </w:r>
      <w:r w:rsidRPr="002C7507">
        <w:rPr>
          <w:rFonts w:asciiTheme="majorHAnsi" w:hAnsiTheme="majorHAnsi" w:cstheme="majorHAnsi"/>
          <w:sz w:val="20"/>
          <w:szCs w:val="20"/>
        </w:rPr>
        <w:tab/>
      </w:r>
      <w:r w:rsidRPr="002C7507">
        <w:rPr>
          <w:rFonts w:asciiTheme="majorHAnsi" w:hAnsiTheme="majorHAnsi" w:cstheme="majorHAnsi"/>
          <w:sz w:val="20"/>
          <w:szCs w:val="20"/>
        </w:rPr>
        <w:tab/>
      </w:r>
      <w:r w:rsidRPr="002C7507">
        <w:rPr>
          <w:rFonts w:asciiTheme="majorHAnsi" w:hAnsiTheme="majorHAnsi" w:cstheme="majorHAnsi"/>
          <w:sz w:val="20"/>
          <w:szCs w:val="20"/>
        </w:rPr>
        <w:tab/>
      </w:r>
      <w:r w:rsidRPr="002C7507">
        <w:rPr>
          <w:rFonts w:asciiTheme="majorHAnsi" w:hAnsiTheme="majorHAnsi" w:cstheme="majorHAnsi"/>
          <w:sz w:val="20"/>
          <w:szCs w:val="20"/>
        </w:rPr>
        <w:tab/>
      </w:r>
      <w:r w:rsidRPr="002C7507">
        <w:rPr>
          <w:rFonts w:asciiTheme="majorHAnsi" w:hAnsiTheme="majorHAnsi" w:cstheme="majorHAnsi"/>
          <w:sz w:val="20"/>
          <w:szCs w:val="20"/>
        </w:rPr>
        <w:tab/>
      </w:r>
      <w:r w:rsidRPr="002C7507">
        <w:rPr>
          <w:rFonts w:asciiTheme="majorHAnsi" w:hAnsiTheme="majorHAnsi" w:cstheme="majorHAnsi"/>
          <w:sz w:val="20"/>
          <w:szCs w:val="20"/>
        </w:rPr>
        <w:tab/>
      </w:r>
      <w:r w:rsidRPr="002C7507">
        <w:rPr>
          <w:rFonts w:asciiTheme="majorHAnsi" w:hAnsiTheme="majorHAnsi" w:cstheme="majorHAnsi"/>
          <w:sz w:val="20"/>
          <w:szCs w:val="20"/>
        </w:rPr>
        <w:tab/>
      </w:r>
      <w:r w:rsidRPr="002C7507">
        <w:rPr>
          <w:rFonts w:asciiTheme="majorHAnsi" w:hAnsiTheme="majorHAnsi" w:cstheme="majorHAnsi"/>
          <w:sz w:val="20"/>
          <w:szCs w:val="20"/>
        </w:rPr>
        <w:tab/>
      </w:r>
      <w:r w:rsidR="009D27AF">
        <w:rPr>
          <w:rFonts w:asciiTheme="majorHAnsi" w:hAnsiTheme="majorHAnsi" w:cstheme="majorHAnsi"/>
          <w:sz w:val="20"/>
          <w:szCs w:val="20"/>
        </w:rPr>
        <w:t>23</w:t>
      </w:r>
    </w:p>
    <w:p w14:paraId="513B4E52" w14:textId="77777777" w:rsidR="0051452A" w:rsidRPr="002C7507" w:rsidRDefault="0051452A" w:rsidP="002C7507">
      <w:pPr>
        <w:pStyle w:val="BodyText"/>
        <w:numPr>
          <w:ilvl w:val="5"/>
          <w:numId w:val="6"/>
        </w:numPr>
        <w:spacing w:after="0"/>
        <w:ind w:left="2127" w:hanging="786"/>
        <w:rPr>
          <w:rFonts w:asciiTheme="majorHAnsi" w:hAnsiTheme="majorHAnsi" w:cstheme="majorHAnsi"/>
          <w:sz w:val="20"/>
          <w:szCs w:val="20"/>
        </w:rPr>
      </w:pPr>
      <w:r w:rsidRPr="002C7507">
        <w:rPr>
          <w:rFonts w:asciiTheme="majorHAnsi" w:hAnsiTheme="majorHAnsi" w:cstheme="majorHAnsi"/>
          <w:sz w:val="20"/>
          <w:szCs w:val="20"/>
        </w:rPr>
        <w:t>Continued public access to the Darling River</w:t>
      </w:r>
      <w:r w:rsidRPr="002C7507">
        <w:rPr>
          <w:rFonts w:asciiTheme="majorHAnsi" w:hAnsiTheme="majorHAnsi" w:cstheme="majorHAnsi"/>
          <w:sz w:val="20"/>
          <w:szCs w:val="20"/>
        </w:rPr>
        <w:tab/>
      </w:r>
      <w:r w:rsidRPr="002C7507">
        <w:rPr>
          <w:rFonts w:asciiTheme="majorHAnsi" w:hAnsiTheme="majorHAnsi" w:cstheme="majorHAnsi"/>
          <w:sz w:val="20"/>
          <w:szCs w:val="20"/>
        </w:rPr>
        <w:tab/>
      </w:r>
      <w:r w:rsidRPr="002C7507">
        <w:rPr>
          <w:rFonts w:asciiTheme="majorHAnsi" w:hAnsiTheme="majorHAnsi" w:cstheme="majorHAnsi"/>
          <w:sz w:val="20"/>
          <w:szCs w:val="20"/>
        </w:rPr>
        <w:tab/>
      </w:r>
      <w:r w:rsidR="000F1783" w:rsidRPr="002C7507">
        <w:rPr>
          <w:rFonts w:asciiTheme="majorHAnsi" w:hAnsiTheme="majorHAnsi" w:cstheme="majorHAnsi"/>
          <w:sz w:val="20"/>
          <w:szCs w:val="20"/>
        </w:rPr>
        <w:tab/>
      </w:r>
      <w:r w:rsidR="002C7507" w:rsidRPr="002C7507">
        <w:rPr>
          <w:rFonts w:asciiTheme="majorHAnsi" w:hAnsiTheme="majorHAnsi" w:cstheme="majorHAnsi"/>
          <w:sz w:val="20"/>
          <w:szCs w:val="20"/>
        </w:rPr>
        <w:tab/>
      </w:r>
      <w:r w:rsidR="009D27AF">
        <w:rPr>
          <w:rFonts w:asciiTheme="majorHAnsi" w:hAnsiTheme="majorHAnsi" w:cstheme="majorHAnsi"/>
          <w:sz w:val="20"/>
          <w:szCs w:val="20"/>
        </w:rPr>
        <w:t>23</w:t>
      </w:r>
    </w:p>
    <w:p w14:paraId="6B3886F7" w14:textId="77777777" w:rsidR="0051452A" w:rsidRPr="002C7507" w:rsidRDefault="0051452A" w:rsidP="002C7507">
      <w:pPr>
        <w:pStyle w:val="BodyText"/>
        <w:numPr>
          <w:ilvl w:val="5"/>
          <w:numId w:val="6"/>
        </w:numPr>
        <w:spacing w:after="0"/>
        <w:ind w:left="2127" w:hanging="786"/>
        <w:rPr>
          <w:rFonts w:asciiTheme="majorHAnsi" w:hAnsiTheme="majorHAnsi" w:cstheme="majorHAnsi"/>
          <w:sz w:val="20"/>
          <w:szCs w:val="20"/>
        </w:rPr>
      </w:pPr>
      <w:r w:rsidRPr="002C7507">
        <w:rPr>
          <w:rFonts w:asciiTheme="majorHAnsi" w:hAnsiTheme="majorHAnsi" w:cstheme="majorHAnsi"/>
          <w:sz w:val="20"/>
          <w:szCs w:val="20"/>
        </w:rPr>
        <w:t>Matters raised by the Western Regional Planning Panel at the</w:t>
      </w:r>
      <w:r w:rsidR="002C7507">
        <w:rPr>
          <w:rFonts w:asciiTheme="majorHAnsi" w:hAnsiTheme="majorHAnsi" w:cstheme="majorHAnsi"/>
          <w:sz w:val="20"/>
          <w:szCs w:val="20"/>
        </w:rPr>
        <w:t xml:space="preserve"> </w:t>
      </w:r>
      <w:r w:rsidRPr="002C7507">
        <w:rPr>
          <w:rFonts w:asciiTheme="majorHAnsi" w:hAnsiTheme="majorHAnsi" w:cstheme="majorHAnsi"/>
          <w:sz w:val="20"/>
          <w:szCs w:val="20"/>
        </w:rPr>
        <w:t xml:space="preserve">Briefing held on </w:t>
      </w:r>
      <w:r w:rsidR="002C7507">
        <w:rPr>
          <w:rFonts w:asciiTheme="majorHAnsi" w:hAnsiTheme="majorHAnsi" w:cstheme="majorHAnsi"/>
          <w:sz w:val="20"/>
          <w:szCs w:val="20"/>
        </w:rPr>
        <w:t xml:space="preserve">      </w:t>
      </w:r>
      <w:r w:rsidRPr="002C7507">
        <w:rPr>
          <w:rFonts w:asciiTheme="majorHAnsi" w:hAnsiTheme="majorHAnsi" w:cstheme="majorHAnsi"/>
          <w:sz w:val="20"/>
          <w:szCs w:val="20"/>
        </w:rPr>
        <w:t>15 February, 2022</w:t>
      </w:r>
      <w:r w:rsidRPr="002C7507">
        <w:rPr>
          <w:rFonts w:asciiTheme="majorHAnsi" w:hAnsiTheme="majorHAnsi" w:cstheme="majorHAnsi"/>
          <w:sz w:val="20"/>
          <w:szCs w:val="20"/>
        </w:rPr>
        <w:tab/>
      </w:r>
      <w:r w:rsidRPr="002C7507">
        <w:rPr>
          <w:rFonts w:asciiTheme="majorHAnsi" w:hAnsiTheme="majorHAnsi" w:cstheme="majorHAnsi"/>
          <w:sz w:val="20"/>
          <w:szCs w:val="20"/>
        </w:rPr>
        <w:tab/>
      </w:r>
      <w:r w:rsidRPr="002C7507">
        <w:rPr>
          <w:rFonts w:asciiTheme="majorHAnsi" w:hAnsiTheme="majorHAnsi" w:cstheme="majorHAnsi"/>
          <w:sz w:val="20"/>
          <w:szCs w:val="20"/>
        </w:rPr>
        <w:tab/>
      </w:r>
      <w:r w:rsidRPr="002C7507">
        <w:rPr>
          <w:rFonts w:asciiTheme="majorHAnsi" w:hAnsiTheme="majorHAnsi" w:cstheme="majorHAnsi"/>
          <w:sz w:val="20"/>
          <w:szCs w:val="20"/>
        </w:rPr>
        <w:tab/>
      </w:r>
      <w:r w:rsidRPr="002C7507">
        <w:rPr>
          <w:rFonts w:asciiTheme="majorHAnsi" w:hAnsiTheme="majorHAnsi" w:cstheme="majorHAnsi"/>
          <w:sz w:val="20"/>
          <w:szCs w:val="20"/>
        </w:rPr>
        <w:tab/>
      </w:r>
      <w:r w:rsidR="000F1783" w:rsidRPr="002C7507">
        <w:rPr>
          <w:rFonts w:asciiTheme="majorHAnsi" w:hAnsiTheme="majorHAnsi" w:cstheme="majorHAnsi"/>
          <w:sz w:val="20"/>
          <w:szCs w:val="20"/>
        </w:rPr>
        <w:tab/>
      </w:r>
      <w:r w:rsidR="002C7507">
        <w:rPr>
          <w:rFonts w:asciiTheme="majorHAnsi" w:hAnsiTheme="majorHAnsi" w:cstheme="majorHAnsi"/>
          <w:sz w:val="20"/>
          <w:szCs w:val="20"/>
        </w:rPr>
        <w:tab/>
      </w:r>
      <w:r w:rsidR="002C7507">
        <w:rPr>
          <w:rFonts w:asciiTheme="majorHAnsi" w:hAnsiTheme="majorHAnsi" w:cstheme="majorHAnsi"/>
          <w:sz w:val="20"/>
          <w:szCs w:val="20"/>
        </w:rPr>
        <w:tab/>
      </w:r>
      <w:r w:rsidR="009D27AF">
        <w:rPr>
          <w:rFonts w:asciiTheme="majorHAnsi" w:hAnsiTheme="majorHAnsi" w:cstheme="majorHAnsi"/>
          <w:sz w:val="20"/>
          <w:szCs w:val="20"/>
        </w:rPr>
        <w:t>2</w:t>
      </w:r>
      <w:r w:rsidR="00BC7E20">
        <w:rPr>
          <w:rFonts w:asciiTheme="majorHAnsi" w:hAnsiTheme="majorHAnsi" w:cstheme="majorHAnsi"/>
          <w:sz w:val="20"/>
          <w:szCs w:val="20"/>
        </w:rPr>
        <w:t>3</w:t>
      </w:r>
    </w:p>
    <w:p w14:paraId="729E9023" w14:textId="77777777" w:rsidR="00695DB1" w:rsidRPr="002C7507" w:rsidRDefault="00695DB1" w:rsidP="002C7507">
      <w:pPr>
        <w:pStyle w:val="Heading2Numbered"/>
        <w:spacing w:before="0" w:after="0"/>
        <w:ind w:left="1418"/>
        <w:rPr>
          <w:b w:val="0"/>
          <w:sz w:val="20"/>
          <w:szCs w:val="20"/>
        </w:rPr>
      </w:pPr>
      <w:r w:rsidRPr="002C7507">
        <w:rPr>
          <w:b w:val="0"/>
          <w:sz w:val="20"/>
          <w:szCs w:val="20"/>
        </w:rPr>
        <w:t>Built form and urban design</w:t>
      </w:r>
      <w:r w:rsidR="00CF1DDD" w:rsidRPr="002C7507">
        <w:rPr>
          <w:b w:val="0"/>
          <w:sz w:val="20"/>
          <w:szCs w:val="20"/>
        </w:rPr>
        <w:t xml:space="preserve"> </w:t>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2C7507" w:rsidRPr="002C7507">
        <w:rPr>
          <w:b w:val="0"/>
          <w:sz w:val="20"/>
          <w:szCs w:val="20"/>
        </w:rPr>
        <w:tab/>
      </w:r>
      <w:r w:rsidR="009D27AF">
        <w:rPr>
          <w:b w:val="0"/>
          <w:sz w:val="20"/>
          <w:szCs w:val="20"/>
        </w:rPr>
        <w:t>27</w:t>
      </w:r>
    </w:p>
    <w:p w14:paraId="480C89D2" w14:textId="77777777" w:rsidR="00695DB1" w:rsidRPr="002C7507" w:rsidRDefault="00A00BA5" w:rsidP="002C7507">
      <w:pPr>
        <w:pStyle w:val="Heading2Numbered"/>
        <w:spacing w:before="0" w:after="0"/>
        <w:ind w:left="1418"/>
        <w:rPr>
          <w:b w:val="0"/>
          <w:sz w:val="20"/>
          <w:szCs w:val="20"/>
        </w:rPr>
      </w:pPr>
      <w:r w:rsidRPr="002C7507">
        <w:rPr>
          <w:b w:val="0"/>
          <w:sz w:val="20"/>
          <w:szCs w:val="20"/>
        </w:rPr>
        <w:t xml:space="preserve">Aboriginal </w:t>
      </w:r>
      <w:r w:rsidR="00695DB1" w:rsidRPr="002C7507">
        <w:rPr>
          <w:b w:val="0"/>
          <w:sz w:val="20"/>
          <w:szCs w:val="20"/>
        </w:rPr>
        <w:t>Heritage</w:t>
      </w:r>
      <w:r w:rsidR="00CF1DDD" w:rsidRPr="002C7507">
        <w:rPr>
          <w:b w:val="0"/>
          <w:sz w:val="20"/>
          <w:szCs w:val="20"/>
        </w:rPr>
        <w:t xml:space="preserve"> </w:t>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0F1783" w:rsidRPr="002C7507">
        <w:rPr>
          <w:b w:val="0"/>
          <w:sz w:val="20"/>
          <w:szCs w:val="20"/>
        </w:rPr>
        <w:tab/>
      </w:r>
      <w:r w:rsidR="009D27AF">
        <w:rPr>
          <w:b w:val="0"/>
          <w:sz w:val="20"/>
          <w:szCs w:val="20"/>
        </w:rPr>
        <w:t>27</w:t>
      </w:r>
    </w:p>
    <w:p w14:paraId="241027EA" w14:textId="77777777" w:rsidR="00A00BA5" w:rsidRPr="002C7507" w:rsidRDefault="00A00BA5" w:rsidP="002C7507">
      <w:pPr>
        <w:pStyle w:val="Heading2Numbered"/>
        <w:spacing w:before="0" w:after="0"/>
        <w:ind w:left="1418"/>
        <w:rPr>
          <w:b w:val="0"/>
          <w:sz w:val="20"/>
          <w:szCs w:val="20"/>
        </w:rPr>
      </w:pPr>
      <w:r w:rsidRPr="002C7507">
        <w:rPr>
          <w:b w:val="0"/>
          <w:sz w:val="20"/>
          <w:szCs w:val="20"/>
        </w:rPr>
        <w:t>European heritage</w:t>
      </w:r>
      <w:r w:rsidR="00CF1DDD" w:rsidRPr="002C7507">
        <w:rPr>
          <w:b w:val="0"/>
          <w:sz w:val="20"/>
          <w:szCs w:val="20"/>
        </w:rPr>
        <w:t xml:space="preserve"> </w:t>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9D27AF">
        <w:rPr>
          <w:b w:val="0"/>
          <w:sz w:val="20"/>
          <w:szCs w:val="20"/>
        </w:rPr>
        <w:t>2</w:t>
      </w:r>
      <w:r w:rsidR="00BC7E20">
        <w:rPr>
          <w:b w:val="0"/>
          <w:sz w:val="20"/>
          <w:szCs w:val="20"/>
        </w:rPr>
        <w:t>9</w:t>
      </w:r>
    </w:p>
    <w:p w14:paraId="1AD801B2" w14:textId="77777777" w:rsidR="00695DB1" w:rsidRPr="002C7507" w:rsidRDefault="00695DB1" w:rsidP="002C7507">
      <w:pPr>
        <w:pStyle w:val="Heading2Numbered"/>
        <w:spacing w:before="0" w:after="0"/>
        <w:ind w:left="1418"/>
        <w:rPr>
          <w:b w:val="0"/>
          <w:sz w:val="20"/>
          <w:szCs w:val="20"/>
        </w:rPr>
      </w:pPr>
      <w:r w:rsidRPr="002C7507">
        <w:rPr>
          <w:b w:val="0"/>
          <w:sz w:val="20"/>
          <w:szCs w:val="20"/>
        </w:rPr>
        <w:t>Biodiversity</w:t>
      </w:r>
      <w:r w:rsidR="00CF1DDD" w:rsidRPr="002C7507">
        <w:rPr>
          <w:b w:val="0"/>
          <w:sz w:val="20"/>
          <w:szCs w:val="20"/>
        </w:rPr>
        <w:t xml:space="preserve"> </w:t>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BC7E20">
        <w:rPr>
          <w:b w:val="0"/>
          <w:sz w:val="20"/>
          <w:szCs w:val="20"/>
        </w:rPr>
        <w:t>30</w:t>
      </w:r>
    </w:p>
    <w:p w14:paraId="6BC5BA4A" w14:textId="77777777" w:rsidR="00695DB1" w:rsidRPr="002C7507" w:rsidRDefault="00695DB1" w:rsidP="002C7507">
      <w:pPr>
        <w:pStyle w:val="Heading2Numbered"/>
        <w:spacing w:before="0" w:after="0"/>
        <w:ind w:left="1418"/>
        <w:rPr>
          <w:b w:val="0"/>
          <w:sz w:val="20"/>
          <w:szCs w:val="20"/>
        </w:rPr>
      </w:pPr>
      <w:r w:rsidRPr="002C7507">
        <w:rPr>
          <w:b w:val="0"/>
          <w:sz w:val="20"/>
          <w:szCs w:val="20"/>
        </w:rPr>
        <w:t>Traffic and parking</w:t>
      </w:r>
      <w:r w:rsidR="00CF1DDD" w:rsidRPr="002C7507">
        <w:rPr>
          <w:b w:val="0"/>
          <w:sz w:val="20"/>
          <w:szCs w:val="20"/>
        </w:rPr>
        <w:t xml:space="preserve"> </w:t>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0F1783" w:rsidRPr="002C7507">
        <w:rPr>
          <w:b w:val="0"/>
          <w:sz w:val="20"/>
          <w:szCs w:val="20"/>
        </w:rPr>
        <w:tab/>
      </w:r>
      <w:r w:rsidR="00BC7E20">
        <w:rPr>
          <w:b w:val="0"/>
          <w:sz w:val="20"/>
          <w:szCs w:val="20"/>
        </w:rPr>
        <w:t>30</w:t>
      </w:r>
    </w:p>
    <w:p w14:paraId="1B88A4AB" w14:textId="77777777" w:rsidR="00695DB1" w:rsidRPr="002C7507" w:rsidRDefault="00695DB1" w:rsidP="002C7507">
      <w:pPr>
        <w:pStyle w:val="Heading2Numbered"/>
        <w:spacing w:before="0" w:after="0"/>
        <w:ind w:left="1418"/>
        <w:rPr>
          <w:b w:val="0"/>
          <w:sz w:val="20"/>
          <w:szCs w:val="20"/>
        </w:rPr>
      </w:pPr>
      <w:r w:rsidRPr="002C7507">
        <w:rPr>
          <w:b w:val="0"/>
          <w:sz w:val="20"/>
          <w:szCs w:val="20"/>
        </w:rPr>
        <w:t>Noise and vibration</w:t>
      </w:r>
      <w:r w:rsidR="00CF1DDD" w:rsidRPr="002C7507">
        <w:rPr>
          <w:b w:val="0"/>
          <w:sz w:val="20"/>
          <w:szCs w:val="20"/>
        </w:rPr>
        <w:t xml:space="preserve"> </w:t>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0F1783" w:rsidRPr="002C7507">
        <w:rPr>
          <w:b w:val="0"/>
          <w:sz w:val="20"/>
          <w:szCs w:val="20"/>
        </w:rPr>
        <w:tab/>
      </w:r>
      <w:r w:rsidR="009D27AF">
        <w:rPr>
          <w:b w:val="0"/>
          <w:sz w:val="20"/>
          <w:szCs w:val="20"/>
        </w:rPr>
        <w:t>3</w:t>
      </w:r>
      <w:r w:rsidR="00BC7E20">
        <w:rPr>
          <w:b w:val="0"/>
          <w:sz w:val="20"/>
          <w:szCs w:val="20"/>
        </w:rPr>
        <w:t>1</w:t>
      </w:r>
    </w:p>
    <w:p w14:paraId="6421EA4B" w14:textId="77777777" w:rsidR="00695DB1" w:rsidRPr="002C7507" w:rsidRDefault="00A00BA5" w:rsidP="002C7507">
      <w:pPr>
        <w:pStyle w:val="Heading2Numbered"/>
        <w:spacing w:before="0" w:after="0"/>
        <w:ind w:left="1418"/>
        <w:rPr>
          <w:b w:val="0"/>
          <w:sz w:val="20"/>
          <w:szCs w:val="20"/>
        </w:rPr>
      </w:pPr>
      <w:r w:rsidRPr="002C7507">
        <w:rPr>
          <w:b w:val="0"/>
          <w:sz w:val="20"/>
          <w:szCs w:val="20"/>
        </w:rPr>
        <w:t>Bushfire</w:t>
      </w:r>
      <w:r w:rsidR="00CF1DDD" w:rsidRPr="002C7507">
        <w:rPr>
          <w:b w:val="0"/>
          <w:sz w:val="20"/>
          <w:szCs w:val="20"/>
        </w:rPr>
        <w:t xml:space="preserve"> </w:t>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9D27AF">
        <w:rPr>
          <w:b w:val="0"/>
          <w:sz w:val="20"/>
          <w:szCs w:val="20"/>
        </w:rPr>
        <w:t>3</w:t>
      </w:r>
      <w:r w:rsidR="00BC7E20">
        <w:rPr>
          <w:b w:val="0"/>
          <w:sz w:val="20"/>
          <w:szCs w:val="20"/>
        </w:rPr>
        <w:t>1</w:t>
      </w:r>
    </w:p>
    <w:p w14:paraId="0426259A" w14:textId="77777777" w:rsidR="00A00BA5" w:rsidRPr="002C7507" w:rsidRDefault="00A00BA5" w:rsidP="002C7507">
      <w:pPr>
        <w:pStyle w:val="Heading2Numbered"/>
        <w:spacing w:before="0" w:after="0"/>
        <w:ind w:left="1418"/>
        <w:rPr>
          <w:b w:val="0"/>
          <w:sz w:val="20"/>
          <w:szCs w:val="20"/>
        </w:rPr>
      </w:pPr>
      <w:r w:rsidRPr="002C7507">
        <w:rPr>
          <w:b w:val="0"/>
          <w:sz w:val="20"/>
          <w:szCs w:val="20"/>
        </w:rPr>
        <w:t>Waste management</w:t>
      </w:r>
      <w:r w:rsidR="00CF1DDD" w:rsidRPr="002C7507">
        <w:rPr>
          <w:b w:val="0"/>
          <w:sz w:val="20"/>
          <w:szCs w:val="20"/>
        </w:rPr>
        <w:t xml:space="preserve"> </w:t>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0F1783" w:rsidRPr="002C7507">
        <w:rPr>
          <w:b w:val="0"/>
          <w:sz w:val="20"/>
          <w:szCs w:val="20"/>
        </w:rPr>
        <w:tab/>
      </w:r>
      <w:r w:rsidR="009D27AF">
        <w:rPr>
          <w:b w:val="0"/>
          <w:sz w:val="20"/>
          <w:szCs w:val="20"/>
        </w:rPr>
        <w:t>3</w:t>
      </w:r>
      <w:r w:rsidR="00BC7E20">
        <w:rPr>
          <w:b w:val="0"/>
          <w:sz w:val="20"/>
          <w:szCs w:val="20"/>
        </w:rPr>
        <w:t>3</w:t>
      </w:r>
    </w:p>
    <w:p w14:paraId="467D3D11" w14:textId="77777777" w:rsidR="00A00BA5" w:rsidRPr="002C7507" w:rsidRDefault="00A00BA5" w:rsidP="002C7507">
      <w:pPr>
        <w:pStyle w:val="Heading2Numbered"/>
        <w:spacing w:before="0" w:after="0"/>
        <w:ind w:left="1418"/>
        <w:rPr>
          <w:b w:val="0"/>
          <w:sz w:val="20"/>
          <w:szCs w:val="20"/>
        </w:rPr>
      </w:pPr>
      <w:r w:rsidRPr="002C7507">
        <w:rPr>
          <w:b w:val="0"/>
          <w:sz w:val="20"/>
          <w:szCs w:val="20"/>
        </w:rPr>
        <w:t>Crime prevention through environmental design</w:t>
      </w:r>
      <w:r w:rsidR="00CF1DDD" w:rsidRPr="002C7507">
        <w:rPr>
          <w:b w:val="0"/>
          <w:sz w:val="20"/>
          <w:szCs w:val="20"/>
        </w:rPr>
        <w:t xml:space="preserve"> </w:t>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2C7507" w:rsidRPr="002C7507">
        <w:rPr>
          <w:b w:val="0"/>
          <w:sz w:val="20"/>
          <w:szCs w:val="20"/>
        </w:rPr>
        <w:tab/>
      </w:r>
      <w:r w:rsidR="009D27AF">
        <w:rPr>
          <w:b w:val="0"/>
          <w:sz w:val="20"/>
          <w:szCs w:val="20"/>
        </w:rPr>
        <w:tab/>
        <w:t>3</w:t>
      </w:r>
      <w:r w:rsidR="00BC7E20">
        <w:rPr>
          <w:b w:val="0"/>
          <w:sz w:val="20"/>
          <w:szCs w:val="20"/>
        </w:rPr>
        <w:t>3</w:t>
      </w:r>
    </w:p>
    <w:p w14:paraId="4D9C90E3" w14:textId="77777777" w:rsidR="00A00BA5" w:rsidRPr="002C7507" w:rsidRDefault="00A00BA5" w:rsidP="002C7507">
      <w:pPr>
        <w:pStyle w:val="Heading2Numbered"/>
        <w:spacing w:before="0" w:after="0"/>
        <w:ind w:left="1418"/>
        <w:rPr>
          <w:b w:val="0"/>
          <w:sz w:val="20"/>
          <w:szCs w:val="20"/>
        </w:rPr>
      </w:pPr>
      <w:r w:rsidRPr="002C7507">
        <w:rPr>
          <w:b w:val="0"/>
          <w:sz w:val="20"/>
          <w:szCs w:val="20"/>
        </w:rPr>
        <w:t>Disabled access</w:t>
      </w:r>
      <w:r w:rsidR="00CF1DDD" w:rsidRPr="002C7507">
        <w:rPr>
          <w:b w:val="0"/>
          <w:sz w:val="20"/>
          <w:szCs w:val="20"/>
        </w:rPr>
        <w:t xml:space="preserve"> </w:t>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9D27AF">
        <w:rPr>
          <w:b w:val="0"/>
          <w:sz w:val="20"/>
          <w:szCs w:val="20"/>
        </w:rPr>
        <w:t>3</w:t>
      </w:r>
      <w:r w:rsidR="00BC7E20">
        <w:rPr>
          <w:b w:val="0"/>
          <w:sz w:val="20"/>
          <w:szCs w:val="20"/>
        </w:rPr>
        <w:t>4</w:t>
      </w:r>
    </w:p>
    <w:p w14:paraId="0A6F3AE5" w14:textId="77777777" w:rsidR="00A00BA5" w:rsidRDefault="0051452A" w:rsidP="009D27AF">
      <w:pPr>
        <w:pStyle w:val="Heading2Numbered"/>
        <w:numPr>
          <w:ilvl w:val="0"/>
          <w:numId w:val="0"/>
        </w:numPr>
        <w:spacing w:before="0" w:after="0"/>
        <w:ind w:left="1418" w:hanging="709"/>
        <w:rPr>
          <w:b w:val="0"/>
          <w:sz w:val="20"/>
          <w:szCs w:val="20"/>
        </w:rPr>
      </w:pPr>
      <w:r w:rsidRPr="002C7507">
        <w:rPr>
          <w:b w:val="0"/>
          <w:sz w:val="20"/>
          <w:szCs w:val="20"/>
        </w:rPr>
        <w:t>5.13</w:t>
      </w:r>
      <w:r w:rsidRPr="002C7507">
        <w:rPr>
          <w:b w:val="0"/>
          <w:sz w:val="20"/>
          <w:szCs w:val="20"/>
        </w:rPr>
        <w:tab/>
      </w:r>
      <w:r w:rsidR="00A00BA5" w:rsidRPr="002C7507">
        <w:rPr>
          <w:b w:val="0"/>
          <w:sz w:val="20"/>
          <w:szCs w:val="20"/>
        </w:rPr>
        <w:t>Landscaping &amp; tree retention</w:t>
      </w:r>
      <w:r w:rsidR="00CF1DDD" w:rsidRPr="002C7507">
        <w:rPr>
          <w:b w:val="0"/>
          <w:sz w:val="20"/>
          <w:szCs w:val="20"/>
        </w:rPr>
        <w:t xml:space="preserve"> </w:t>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CF1DDD" w:rsidRPr="002C7507">
        <w:rPr>
          <w:b w:val="0"/>
          <w:sz w:val="20"/>
          <w:szCs w:val="20"/>
        </w:rPr>
        <w:tab/>
      </w:r>
      <w:r w:rsidR="002C7507" w:rsidRPr="002C7507">
        <w:rPr>
          <w:b w:val="0"/>
          <w:sz w:val="20"/>
          <w:szCs w:val="20"/>
        </w:rPr>
        <w:tab/>
      </w:r>
      <w:r w:rsidR="009D27AF">
        <w:rPr>
          <w:b w:val="0"/>
          <w:sz w:val="20"/>
          <w:szCs w:val="20"/>
        </w:rPr>
        <w:t>3</w:t>
      </w:r>
      <w:r w:rsidR="00BC7E20">
        <w:rPr>
          <w:b w:val="0"/>
          <w:sz w:val="20"/>
          <w:szCs w:val="20"/>
        </w:rPr>
        <w:t>4</w:t>
      </w:r>
    </w:p>
    <w:p w14:paraId="68332247" w14:textId="77777777" w:rsidR="009D27AF" w:rsidRDefault="009D27AF" w:rsidP="009D27AF">
      <w:pPr>
        <w:pStyle w:val="BodyText"/>
        <w:spacing w:after="0"/>
        <w:rPr>
          <w:rFonts w:asciiTheme="majorHAnsi" w:hAnsiTheme="majorHAnsi" w:cstheme="majorHAnsi"/>
          <w:sz w:val="20"/>
          <w:szCs w:val="20"/>
        </w:rPr>
      </w:pPr>
      <w:r>
        <w:tab/>
      </w:r>
      <w:r w:rsidRPr="009D27AF">
        <w:rPr>
          <w:rFonts w:asciiTheme="majorHAnsi" w:hAnsiTheme="majorHAnsi" w:cstheme="majorHAnsi"/>
          <w:sz w:val="20"/>
          <w:szCs w:val="20"/>
        </w:rPr>
        <w:t>5.14</w:t>
      </w:r>
      <w:r>
        <w:rPr>
          <w:rFonts w:asciiTheme="majorHAnsi" w:hAnsiTheme="majorHAnsi" w:cstheme="majorHAnsi"/>
          <w:sz w:val="20"/>
          <w:szCs w:val="20"/>
        </w:rPr>
        <w:tab/>
        <w:t>Contamination</w:t>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t>3</w:t>
      </w:r>
      <w:r w:rsidR="00BC7E20">
        <w:rPr>
          <w:rFonts w:asciiTheme="majorHAnsi" w:hAnsiTheme="majorHAnsi" w:cstheme="majorHAnsi"/>
          <w:sz w:val="20"/>
          <w:szCs w:val="20"/>
        </w:rPr>
        <w:t>4</w:t>
      </w:r>
    </w:p>
    <w:p w14:paraId="0CB6FBC0" w14:textId="77777777" w:rsidR="009D27AF" w:rsidRDefault="009D27AF" w:rsidP="009D27AF">
      <w:pPr>
        <w:pStyle w:val="BodyText"/>
        <w:spacing w:after="0" w:line="240" w:lineRule="auto"/>
        <w:ind w:firstLine="709"/>
        <w:rPr>
          <w:rFonts w:asciiTheme="majorHAnsi" w:hAnsiTheme="majorHAnsi" w:cstheme="majorHAnsi"/>
          <w:sz w:val="20"/>
          <w:szCs w:val="20"/>
        </w:rPr>
      </w:pPr>
      <w:r>
        <w:rPr>
          <w:rFonts w:asciiTheme="majorHAnsi" w:hAnsiTheme="majorHAnsi" w:cstheme="majorHAnsi"/>
          <w:sz w:val="20"/>
          <w:szCs w:val="20"/>
        </w:rPr>
        <w:t>5.15</w:t>
      </w:r>
      <w:r>
        <w:rPr>
          <w:rFonts w:asciiTheme="majorHAnsi" w:hAnsiTheme="majorHAnsi" w:cstheme="majorHAnsi"/>
          <w:sz w:val="20"/>
          <w:szCs w:val="20"/>
        </w:rPr>
        <w:tab/>
        <w:t>Visual impacts</w:t>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t>3</w:t>
      </w:r>
      <w:r w:rsidR="00BC7E20">
        <w:rPr>
          <w:rFonts w:asciiTheme="majorHAnsi" w:hAnsiTheme="majorHAnsi" w:cstheme="majorHAnsi"/>
          <w:sz w:val="20"/>
          <w:szCs w:val="20"/>
        </w:rPr>
        <w:t>5</w:t>
      </w:r>
    </w:p>
    <w:p w14:paraId="62E4B530" w14:textId="77777777" w:rsidR="00A00BA5" w:rsidRPr="009D27AF" w:rsidRDefault="00A00BA5" w:rsidP="00AA604B">
      <w:pPr>
        <w:pStyle w:val="Heading1Numbered"/>
        <w:spacing w:before="0" w:after="0" w:line="240" w:lineRule="auto"/>
        <w:ind w:left="0" w:firstLine="0"/>
        <w:rPr>
          <w:sz w:val="22"/>
          <w:szCs w:val="22"/>
        </w:rPr>
      </w:pPr>
      <w:r w:rsidRPr="009D27AF">
        <w:rPr>
          <w:sz w:val="22"/>
          <w:szCs w:val="22"/>
        </w:rPr>
        <w:t>CONCLUSION</w:t>
      </w:r>
      <w:r w:rsidR="00512AF3" w:rsidRPr="009D27AF">
        <w:rPr>
          <w:sz w:val="22"/>
          <w:szCs w:val="22"/>
        </w:rPr>
        <w:t xml:space="preserve"> AND RECOMMENDATION</w:t>
      </w:r>
      <w:r w:rsidR="007B6351" w:rsidRPr="009D27AF">
        <w:rPr>
          <w:sz w:val="22"/>
          <w:szCs w:val="22"/>
        </w:rPr>
        <w:t xml:space="preserve"> </w:t>
      </w:r>
      <w:r w:rsidR="007B6351" w:rsidRPr="009D27AF">
        <w:rPr>
          <w:sz w:val="22"/>
          <w:szCs w:val="22"/>
        </w:rPr>
        <w:tab/>
      </w:r>
      <w:r w:rsidR="007B6351" w:rsidRPr="009D27AF">
        <w:rPr>
          <w:sz w:val="22"/>
          <w:szCs w:val="22"/>
        </w:rPr>
        <w:tab/>
      </w:r>
      <w:r w:rsidR="009D27AF" w:rsidRPr="009D27AF">
        <w:rPr>
          <w:sz w:val="22"/>
          <w:szCs w:val="22"/>
        </w:rPr>
        <w:tab/>
      </w:r>
      <w:r w:rsidR="009D27AF" w:rsidRPr="009D27AF">
        <w:rPr>
          <w:sz w:val="22"/>
          <w:szCs w:val="22"/>
        </w:rPr>
        <w:tab/>
      </w:r>
      <w:r w:rsidR="009D27AF" w:rsidRPr="009D27AF">
        <w:rPr>
          <w:sz w:val="22"/>
          <w:szCs w:val="22"/>
        </w:rPr>
        <w:tab/>
      </w:r>
      <w:r w:rsidR="009D27AF" w:rsidRPr="009D27AF">
        <w:rPr>
          <w:sz w:val="22"/>
          <w:szCs w:val="22"/>
        </w:rPr>
        <w:tab/>
      </w:r>
      <w:r w:rsidR="009D27AF">
        <w:rPr>
          <w:sz w:val="22"/>
          <w:szCs w:val="22"/>
        </w:rPr>
        <w:tab/>
      </w:r>
      <w:r w:rsidR="009D27AF" w:rsidRPr="009D27AF">
        <w:rPr>
          <w:b w:val="0"/>
          <w:sz w:val="22"/>
          <w:szCs w:val="22"/>
        </w:rPr>
        <w:t>3</w:t>
      </w:r>
      <w:r w:rsidR="00BC7E20">
        <w:rPr>
          <w:b w:val="0"/>
          <w:sz w:val="22"/>
          <w:szCs w:val="22"/>
        </w:rPr>
        <w:t>5</w:t>
      </w:r>
      <w:r w:rsidR="009D27AF" w:rsidRPr="009D27AF">
        <w:rPr>
          <w:sz w:val="22"/>
          <w:szCs w:val="22"/>
        </w:rPr>
        <w:tab/>
      </w:r>
      <w:r w:rsidR="007B6351" w:rsidRPr="009D27AF">
        <w:rPr>
          <w:sz w:val="22"/>
          <w:szCs w:val="22"/>
        </w:rPr>
        <w:tab/>
      </w:r>
    </w:p>
    <w:p w14:paraId="7B07D45E" w14:textId="77777777" w:rsidR="002C7507" w:rsidRPr="009D27AF" w:rsidRDefault="002C7507" w:rsidP="00AA604B">
      <w:pPr>
        <w:pStyle w:val="BodyText"/>
        <w:spacing w:after="0" w:line="240" w:lineRule="auto"/>
        <w:rPr>
          <w:rFonts w:ascii="Arial" w:hAnsi="Arial" w:cs="Arial"/>
          <w:b/>
          <w:sz w:val="24"/>
          <w:szCs w:val="24"/>
        </w:rPr>
      </w:pPr>
      <w:r w:rsidRPr="009D27AF">
        <w:rPr>
          <w:rFonts w:ascii="Arial" w:hAnsi="Arial" w:cs="Arial"/>
          <w:b/>
          <w:sz w:val="24"/>
          <w:szCs w:val="24"/>
        </w:rPr>
        <w:t>Attachments</w:t>
      </w:r>
    </w:p>
    <w:bookmarkEnd w:id="0"/>
    <w:p w14:paraId="766B037F" w14:textId="77777777" w:rsidR="002C7507" w:rsidRPr="002C7507" w:rsidRDefault="002C7507" w:rsidP="00AA604B">
      <w:pPr>
        <w:pStyle w:val="BodyText"/>
        <w:spacing w:after="0" w:line="240" w:lineRule="auto"/>
        <w:rPr>
          <w:sz w:val="20"/>
          <w:szCs w:val="20"/>
        </w:rPr>
      </w:pPr>
      <w:r w:rsidRPr="002C7507">
        <w:rPr>
          <w:sz w:val="20"/>
          <w:szCs w:val="20"/>
        </w:rPr>
        <w:t>Attachment 1 – Pre-lodgement notes</w:t>
      </w:r>
    </w:p>
    <w:p w14:paraId="027207F7" w14:textId="77777777" w:rsidR="002C7507" w:rsidRPr="002C7507" w:rsidRDefault="002C7507" w:rsidP="00AA604B">
      <w:pPr>
        <w:pStyle w:val="BodyText"/>
        <w:spacing w:after="0" w:line="240" w:lineRule="auto"/>
        <w:rPr>
          <w:sz w:val="20"/>
          <w:szCs w:val="20"/>
        </w:rPr>
      </w:pPr>
      <w:r w:rsidRPr="002C7507">
        <w:rPr>
          <w:sz w:val="20"/>
          <w:szCs w:val="20"/>
        </w:rPr>
        <w:t>Attachment 2 – Record of Briefing Western Regional Planning Panel 15 February, 2022</w:t>
      </w:r>
    </w:p>
    <w:p w14:paraId="6BA846B3" w14:textId="77777777" w:rsidR="002C7507" w:rsidRPr="002C7507" w:rsidRDefault="002C7507" w:rsidP="00AA604B">
      <w:pPr>
        <w:pStyle w:val="BodyText"/>
        <w:spacing w:after="0" w:line="240" w:lineRule="auto"/>
        <w:rPr>
          <w:sz w:val="20"/>
          <w:szCs w:val="20"/>
        </w:rPr>
      </w:pPr>
      <w:r w:rsidRPr="002C7507">
        <w:rPr>
          <w:sz w:val="20"/>
          <w:szCs w:val="20"/>
        </w:rPr>
        <w:t>Attachment 3 – Record of Briefing Western Regional Planning Panel 17 May, 2022</w:t>
      </w:r>
    </w:p>
    <w:p w14:paraId="31AD352B" w14:textId="77777777" w:rsidR="00A00BA5" w:rsidRDefault="002C7507" w:rsidP="00AA604B">
      <w:pPr>
        <w:pStyle w:val="BodyText"/>
        <w:spacing w:after="0" w:line="240" w:lineRule="auto"/>
        <w:rPr>
          <w:sz w:val="20"/>
          <w:szCs w:val="20"/>
        </w:rPr>
      </w:pPr>
      <w:r w:rsidRPr="002C7507">
        <w:rPr>
          <w:sz w:val="20"/>
          <w:szCs w:val="20"/>
        </w:rPr>
        <w:t>Attachment 4 – Copy of plans</w:t>
      </w:r>
    </w:p>
    <w:p w14:paraId="5CDD9201" w14:textId="77777777" w:rsidR="00AB7910" w:rsidRPr="002C7507" w:rsidRDefault="00AB7910" w:rsidP="00AA604B">
      <w:pPr>
        <w:pStyle w:val="BodyText"/>
        <w:spacing w:after="0" w:line="240" w:lineRule="auto"/>
        <w:rPr>
          <w:sz w:val="20"/>
          <w:szCs w:val="20"/>
        </w:rPr>
      </w:pPr>
      <w:r>
        <w:rPr>
          <w:sz w:val="20"/>
          <w:szCs w:val="20"/>
        </w:rPr>
        <w:t>Attachment 5 – Draft conditions of consent</w:t>
      </w:r>
    </w:p>
    <w:p w14:paraId="3B3712F8" w14:textId="77777777" w:rsidR="00A00BA5" w:rsidRDefault="00A00BA5" w:rsidP="003860D4">
      <w:pPr>
        <w:pStyle w:val="Heading1Numbered"/>
        <w:numPr>
          <w:ilvl w:val="6"/>
          <w:numId w:val="6"/>
        </w:numPr>
        <w:ind w:left="851" w:hanging="851"/>
      </w:pPr>
      <w:r>
        <w:lastRenderedPageBreak/>
        <w:t>BACKGROUND</w:t>
      </w:r>
    </w:p>
    <w:p w14:paraId="4ADF8F6E" w14:textId="77777777" w:rsidR="00A00BA5" w:rsidRPr="00A00BA5" w:rsidRDefault="00A00BA5" w:rsidP="003860D4">
      <w:pPr>
        <w:pStyle w:val="BodyText"/>
        <w:numPr>
          <w:ilvl w:val="1"/>
          <w:numId w:val="10"/>
        </w:numPr>
        <w:rPr>
          <w:b/>
        </w:rPr>
      </w:pPr>
      <w:r w:rsidRPr="00A00BA5">
        <w:rPr>
          <w:b/>
        </w:rPr>
        <w:t>Introduction</w:t>
      </w:r>
    </w:p>
    <w:p w14:paraId="7D8E58E8" w14:textId="77777777" w:rsidR="00A00BA5" w:rsidRDefault="00A00BA5" w:rsidP="00A00BA5">
      <w:pPr>
        <w:pStyle w:val="BodyText"/>
      </w:pPr>
      <w:r>
        <w:t>This report provides an assessment of a development application for the</w:t>
      </w:r>
      <w:r w:rsidR="00753D1A">
        <w:t xml:space="preserve"> construction of a single storey (elevated over undercroft)</w:t>
      </w:r>
      <w:r>
        <w:t xml:space="preserve"> </w:t>
      </w:r>
      <w:r w:rsidR="00753D1A">
        <w:t>health services facility</w:t>
      </w:r>
      <w:r w:rsidR="001E4FBF">
        <w:t xml:space="preserve"> comprising of 3 buildings connected by 2 covered walkways, site works, landscaping and the provision of </w:t>
      </w:r>
      <w:r w:rsidR="00FE0968" w:rsidRPr="00FE0968">
        <w:t>16</w:t>
      </w:r>
      <w:r w:rsidR="001E4FBF">
        <w:t xml:space="preserve"> at-grade carparking spaces</w:t>
      </w:r>
      <w:r w:rsidR="00FE0968">
        <w:t xml:space="preserve"> (being 4 on-site and 12 within the road reserve of Bonney Street)</w:t>
      </w:r>
      <w:r w:rsidR="001E4FBF">
        <w:t xml:space="preserve">, drop-off area and ambulance bay.   </w:t>
      </w:r>
    </w:p>
    <w:p w14:paraId="58F5B657" w14:textId="77777777" w:rsidR="00A00BA5" w:rsidRDefault="00A00BA5" w:rsidP="00A00BA5">
      <w:pPr>
        <w:pStyle w:val="BodyText"/>
      </w:pPr>
      <w:r>
        <w:t>The application was lodged by Maari Ma Aboriginal Health Corporation Pty Ltd</w:t>
      </w:r>
      <w:r w:rsidR="009B73CF">
        <w:t xml:space="preserve"> on 1 December, 2021</w:t>
      </w:r>
      <w:r>
        <w:t>.</w:t>
      </w:r>
      <w:r w:rsidR="0038171A">
        <w:t xml:space="preserve"> The development is </w:t>
      </w:r>
      <w:r w:rsidR="00FE0968">
        <w:t>Nominated</w:t>
      </w:r>
      <w:r w:rsidR="0038171A">
        <w:t xml:space="preserve"> Integrated </w:t>
      </w:r>
      <w:r w:rsidR="00FE0968">
        <w:t>Development, with some works being located within 40m of the top of the bank of the Darling River</w:t>
      </w:r>
      <w:r w:rsidR="0038171A">
        <w:t>.</w:t>
      </w:r>
      <w:r w:rsidR="00FE0968">
        <w:t xml:space="preserve"> The development is not Designated Development.</w:t>
      </w:r>
      <w:r w:rsidR="0038171A">
        <w:t xml:space="preserve"> </w:t>
      </w:r>
    </w:p>
    <w:p w14:paraId="6560FD65" w14:textId="77777777" w:rsidR="0038171A" w:rsidRDefault="0038171A" w:rsidP="00A00BA5">
      <w:pPr>
        <w:pStyle w:val="BodyText"/>
      </w:pPr>
      <w:r>
        <w:t xml:space="preserve">This assessment has been undertaken by officers from Blacktown City Council to assist Central Darling Shire Council as a result of </w:t>
      </w:r>
      <w:r w:rsidR="00FE0968">
        <w:t>resourcing</w:t>
      </w:r>
      <w:r>
        <w:t xml:space="preserve"> issues and impacts directly and indirectly relating to the C</w:t>
      </w:r>
      <w:r w:rsidR="001E4FBF">
        <w:t>o</w:t>
      </w:r>
      <w:r>
        <w:t>vid-19 pandemic</w:t>
      </w:r>
      <w:r w:rsidR="00FE0968">
        <w:t xml:space="preserve">, as well as being a neutral assessor having regard to the ownership of the land (until </w:t>
      </w:r>
      <w:r w:rsidR="00BA1F37">
        <w:t>23 May, 2022) by Central Darling Shire Council.</w:t>
      </w:r>
    </w:p>
    <w:p w14:paraId="54E60B12" w14:textId="77777777" w:rsidR="0038171A" w:rsidRDefault="0038171A" w:rsidP="00A00BA5">
      <w:pPr>
        <w:pStyle w:val="BodyText"/>
      </w:pPr>
      <w:r>
        <w:t>An inspection of the site was undertaken on 30 December, 2020 in anticipation of this development application being lodged and in order to assist the applicant to prepare for lodgement of the application</w:t>
      </w:r>
      <w:r w:rsidR="009B73CF">
        <w:t xml:space="preserve"> and a subsequent pre-lodgement meeting held via a </w:t>
      </w:r>
      <w:r w:rsidR="00E40622">
        <w:t>Video Conference</w:t>
      </w:r>
      <w:r w:rsidR="009B73CF">
        <w:t xml:space="preserve"> on 28 January, 2021. A copy of the pre-lodgement notes is at </w:t>
      </w:r>
      <w:r w:rsidR="002C7507" w:rsidRPr="00BC7E20">
        <w:t>Attachment 1</w:t>
      </w:r>
      <w:r w:rsidR="009B73CF">
        <w:t>.</w:t>
      </w:r>
    </w:p>
    <w:p w14:paraId="1843834A" w14:textId="77777777" w:rsidR="009B73CF" w:rsidRDefault="009B73CF" w:rsidP="00A00BA5">
      <w:pPr>
        <w:pStyle w:val="BodyText"/>
      </w:pPr>
      <w:r>
        <w:t xml:space="preserve">The applicant briefed the Western Regional Planning Panel on 15 February, 2022 and officers from Blacktown City Council were also in attendance </w:t>
      </w:r>
      <w:r w:rsidR="00E40622">
        <w:t xml:space="preserve">in the video conference </w:t>
      </w:r>
      <w:r>
        <w:t xml:space="preserve">to assist the Panel. </w:t>
      </w:r>
      <w:bookmarkStart w:id="1" w:name="_Hlk104965020"/>
      <w:r>
        <w:t xml:space="preserve">A copy of the Record of Briefing is at </w:t>
      </w:r>
      <w:r w:rsidR="002C7507" w:rsidRPr="00BC7E20">
        <w:t>Attachment 2</w:t>
      </w:r>
      <w:r w:rsidR="001E4FBF" w:rsidRPr="00BC7E20">
        <w:t>.</w:t>
      </w:r>
      <w:bookmarkEnd w:id="1"/>
      <w:r w:rsidR="001E4FBF" w:rsidRPr="00BC7E20">
        <w:t xml:space="preserve"> </w:t>
      </w:r>
      <w:r w:rsidR="001E4FBF" w:rsidRPr="001E4FBF">
        <w:t>The Panel inspected the site with a representative of Central Darling Shire Council on 18 March, 2022.</w:t>
      </w:r>
      <w:r w:rsidR="00BA1F37">
        <w:t xml:space="preserve"> An update briefing was also held on 17 May, 2022 in order to review where the matter was up to in terms of reporting and documentation. A copy of the Record of Briefing is at </w:t>
      </w:r>
      <w:r w:rsidR="002C7507" w:rsidRPr="00BC7E20">
        <w:t>Attachment 3</w:t>
      </w:r>
      <w:r w:rsidR="00BA1F37" w:rsidRPr="00BC7E20">
        <w:t>.</w:t>
      </w:r>
    </w:p>
    <w:p w14:paraId="711067E0" w14:textId="77777777" w:rsidR="00A00BA5" w:rsidRPr="00A00BA5" w:rsidRDefault="00A00BA5" w:rsidP="003860D4">
      <w:pPr>
        <w:pStyle w:val="BodyText"/>
        <w:numPr>
          <w:ilvl w:val="1"/>
          <w:numId w:val="10"/>
        </w:numPr>
        <w:rPr>
          <w:b/>
        </w:rPr>
      </w:pPr>
      <w:r w:rsidRPr="00A00BA5">
        <w:rPr>
          <w:b/>
        </w:rPr>
        <w:t>Site and surrounds</w:t>
      </w:r>
    </w:p>
    <w:p w14:paraId="1D6DECD8" w14:textId="77777777" w:rsidR="00A00BA5" w:rsidRDefault="00A00BA5" w:rsidP="00A00BA5">
      <w:pPr>
        <w:pStyle w:val="BodyText"/>
      </w:pPr>
      <w:r>
        <w:t>The site is located</w:t>
      </w:r>
      <w:r w:rsidR="00F412A1">
        <w:t xml:space="preserve"> to the south-west of Ross Street off a short section of unsealed road known as Bonney Street, Wilcannia. </w:t>
      </w:r>
      <w:r w:rsidR="004C6BD7">
        <w:t xml:space="preserve">The </w:t>
      </w:r>
      <w:r w:rsidR="00F412A1">
        <w:t>Darling River is located to the south of the site and Wilcannia Hospital to the east. Residential properties are located to the north, north-east and west.</w:t>
      </w:r>
    </w:p>
    <w:p w14:paraId="1D23E6AC" w14:textId="77777777" w:rsidR="00803A25" w:rsidRDefault="00803A25" w:rsidP="00A00BA5">
      <w:pPr>
        <w:pStyle w:val="BodyText"/>
      </w:pPr>
      <w:r>
        <w:rPr>
          <w:noProof/>
        </w:rPr>
        <w:drawing>
          <wp:inline distT="0" distB="0" distL="0" distR="0" wp14:anchorId="3A19899D" wp14:editId="00C11DA3">
            <wp:extent cx="3753686" cy="2815166"/>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8376" cy="2841183"/>
                    </a:xfrm>
                    <a:prstGeom prst="rect">
                      <a:avLst/>
                    </a:prstGeom>
                    <a:noFill/>
                  </pic:spPr>
                </pic:pic>
              </a:graphicData>
            </a:graphic>
          </wp:inline>
        </w:drawing>
      </w:r>
    </w:p>
    <w:p w14:paraId="055523EA" w14:textId="77777777" w:rsidR="00803A25" w:rsidRPr="00BA1F37" w:rsidRDefault="00803A25" w:rsidP="00803A25">
      <w:pPr>
        <w:pStyle w:val="BodyText"/>
        <w:rPr>
          <w:sz w:val="16"/>
          <w:szCs w:val="16"/>
        </w:rPr>
      </w:pPr>
      <w:r w:rsidRPr="00BA1F37">
        <w:rPr>
          <w:sz w:val="16"/>
          <w:szCs w:val="16"/>
        </w:rPr>
        <w:t>View of the site looking north along Bonney Street</w:t>
      </w:r>
    </w:p>
    <w:p w14:paraId="2E4F69CD" w14:textId="77777777" w:rsidR="00803A25" w:rsidRDefault="00803A25" w:rsidP="00A00BA5">
      <w:pPr>
        <w:pStyle w:val="BodyText"/>
      </w:pPr>
      <w:r>
        <w:rPr>
          <w:noProof/>
        </w:rPr>
        <w:lastRenderedPageBreak/>
        <w:drawing>
          <wp:inline distT="0" distB="0" distL="0" distR="0" wp14:anchorId="0B9AA247" wp14:editId="465029C7">
            <wp:extent cx="3704166" cy="2778029"/>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4201" cy="2823054"/>
                    </a:xfrm>
                    <a:prstGeom prst="rect">
                      <a:avLst/>
                    </a:prstGeom>
                    <a:noFill/>
                  </pic:spPr>
                </pic:pic>
              </a:graphicData>
            </a:graphic>
          </wp:inline>
        </w:drawing>
      </w:r>
    </w:p>
    <w:p w14:paraId="379AB43E" w14:textId="77777777" w:rsidR="00803A25" w:rsidRPr="00BA1F37" w:rsidRDefault="00803A25" w:rsidP="00803A25">
      <w:pPr>
        <w:pStyle w:val="BodyText"/>
        <w:rPr>
          <w:sz w:val="16"/>
          <w:szCs w:val="16"/>
        </w:rPr>
      </w:pPr>
      <w:r w:rsidRPr="00BA1F37">
        <w:rPr>
          <w:sz w:val="16"/>
          <w:szCs w:val="16"/>
        </w:rPr>
        <w:t xml:space="preserve">View of the site looking north-west from unsealed Bonney Street – looking towards residential properties adjacent to the site </w:t>
      </w:r>
    </w:p>
    <w:p w14:paraId="45016F09" w14:textId="77777777" w:rsidR="00F412A1" w:rsidRDefault="00F412A1" w:rsidP="00A00BA5">
      <w:pPr>
        <w:pStyle w:val="BodyText"/>
      </w:pPr>
      <w:r>
        <w:t>The development site comprises the following parcels:</w:t>
      </w:r>
    </w:p>
    <w:p w14:paraId="630D952B" w14:textId="77777777" w:rsidR="00F412A1" w:rsidRDefault="00F412A1" w:rsidP="00F412A1">
      <w:pPr>
        <w:pStyle w:val="ListBullet"/>
      </w:pPr>
      <w:r>
        <w:t>Lots 2-4 in DP 1201089</w:t>
      </w:r>
    </w:p>
    <w:p w14:paraId="1B2077DA" w14:textId="77777777" w:rsidR="00F412A1" w:rsidRDefault="00F412A1" w:rsidP="00F412A1">
      <w:pPr>
        <w:pStyle w:val="ListBullet"/>
      </w:pPr>
      <w:r>
        <w:t>Lot 111 in DP 1201028</w:t>
      </w:r>
    </w:p>
    <w:p w14:paraId="47A2A8E2" w14:textId="77777777" w:rsidR="00F412A1" w:rsidRDefault="00BA1F37" w:rsidP="00F412A1">
      <w:pPr>
        <w:pStyle w:val="ListBullet"/>
      </w:pPr>
      <w:r>
        <w:t xml:space="preserve">Part of the </w:t>
      </w:r>
      <w:r w:rsidR="00F412A1">
        <w:t>Bonney Street</w:t>
      </w:r>
      <w:r>
        <w:t xml:space="preserve"> road reserve (for access</w:t>
      </w:r>
      <w:r w:rsidR="0051452A">
        <w:t xml:space="preserve"> and designated parking</w:t>
      </w:r>
      <w:r>
        <w:t>)</w:t>
      </w:r>
    </w:p>
    <w:p w14:paraId="4635B2E7" w14:textId="77777777" w:rsidR="0077601D" w:rsidRDefault="0077601D" w:rsidP="00A00BA5">
      <w:pPr>
        <w:pStyle w:val="BodyText"/>
      </w:pPr>
      <w:r>
        <w:t xml:space="preserve">The land is of an irregular shape, comprising a number of lots and with a total site area of </w:t>
      </w:r>
      <w:r w:rsidR="007B6351">
        <w:t>5</w:t>
      </w:r>
      <w:r>
        <w:t>,</w:t>
      </w:r>
      <w:r w:rsidR="007B6351">
        <w:t>048</w:t>
      </w:r>
      <w:r>
        <w:t>m</w:t>
      </w:r>
      <w:r>
        <w:rPr>
          <w:rFonts w:cstheme="minorHAnsi"/>
        </w:rPr>
        <w:t>²</w:t>
      </w:r>
      <w:r>
        <w:t xml:space="preserve">. The land is zoned </w:t>
      </w:r>
      <w:r w:rsidR="00753D1A">
        <w:t>R1 – General Residential. With part of the access pathway to the Darling River being located on W1 – Natural Waterways zoned land on the upper banks</w:t>
      </w:r>
      <w:r w:rsidR="001E4FBF">
        <w:t>.</w:t>
      </w:r>
    </w:p>
    <w:p w14:paraId="151D28BA" w14:textId="77777777" w:rsidR="001E4FBF" w:rsidRDefault="001E4FBF" w:rsidP="00A00BA5">
      <w:pPr>
        <w:pStyle w:val="BodyText"/>
      </w:pPr>
      <w:r>
        <w:t xml:space="preserve">The site is generally flat, with undulations of soil and gravel with grasses and </w:t>
      </w:r>
      <w:r w:rsidR="005641E6">
        <w:t>small-medium sized native trees</w:t>
      </w:r>
      <w:r>
        <w:t>. It slopes more progressively towards the river at the rear (southern side).</w:t>
      </w:r>
      <w:r w:rsidR="005C54AF">
        <w:t xml:space="preserve"> Access also seems to have been informally provided off Bonney Street to the rear of properties located in Bourke Street (to the west) as well as to the pump station located between the subject site and the hospital</w:t>
      </w:r>
      <w:r w:rsidR="007B6351">
        <w:t xml:space="preserve"> (to the east)</w:t>
      </w:r>
      <w:r w:rsidR="005C54AF">
        <w:t>.</w:t>
      </w:r>
      <w:r w:rsidR="00BA1F37">
        <w:t xml:space="preserve"> This access will be maintained. </w:t>
      </w:r>
    </w:p>
    <w:p w14:paraId="1AB03520" w14:textId="77777777" w:rsidR="00A00BA5" w:rsidRDefault="0077601D" w:rsidP="00A00BA5">
      <w:pPr>
        <w:pStyle w:val="BodyText"/>
      </w:pPr>
      <w:r>
        <w:t>The project location and zoning is shown highlighted on the following figures.</w:t>
      </w:r>
    </w:p>
    <w:p w14:paraId="74F2C006" w14:textId="77777777" w:rsidR="0077601D" w:rsidRDefault="007B6351" w:rsidP="00A00BA5">
      <w:pPr>
        <w:pStyle w:val="BodyText"/>
      </w:pPr>
      <w:r>
        <w:rPr>
          <w:noProof/>
        </w:rPr>
        <mc:AlternateContent>
          <mc:Choice Requires="wps">
            <w:drawing>
              <wp:anchor distT="0" distB="0" distL="114300" distR="114300" simplePos="0" relativeHeight="251665408" behindDoc="0" locked="0" layoutInCell="1" allowOverlap="1" wp14:anchorId="0C5F8E2D" wp14:editId="48DE0C18">
                <wp:simplePos x="0" y="0"/>
                <wp:positionH relativeFrom="column">
                  <wp:posOffset>1619349</wp:posOffset>
                </wp:positionH>
                <wp:positionV relativeFrom="paragraph">
                  <wp:posOffset>1048410</wp:posOffset>
                </wp:positionV>
                <wp:extent cx="570016" cy="659080"/>
                <wp:effectExtent l="38100" t="38100" r="40005" b="84455"/>
                <wp:wrapNone/>
                <wp:docPr id="19" name="Straight Arrow Connector 19"/>
                <wp:cNvGraphicFramePr/>
                <a:graphic xmlns:a="http://schemas.openxmlformats.org/drawingml/2006/main">
                  <a:graphicData uri="http://schemas.microsoft.com/office/word/2010/wordprocessingShape">
                    <wps:wsp>
                      <wps:cNvCnPr/>
                      <wps:spPr>
                        <a:xfrm flipV="1">
                          <a:off x="0" y="0"/>
                          <a:ext cx="570016" cy="6590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21B11D4C" id="_x0000_t32" coordsize="21600,21600" o:spt="32" o:oned="t" path="m,l21600,21600e" filled="f">
                <v:path arrowok="t" fillok="f" o:connecttype="none"/>
                <o:lock v:ext="edit" shapetype="t"/>
              </v:shapetype>
              <v:shape id="Straight Arrow Connector 19" o:spid="_x0000_s1026" type="#_x0000_t32" style="position:absolute;margin-left:127.5pt;margin-top:82.55pt;width:44.9pt;height:51.9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61312" behindDoc="0" locked="0" layoutInCell="1" allowOverlap="1" wp14:anchorId="0982D3F5" wp14:editId="7B0A0C4E">
                <wp:simplePos x="0" y="0"/>
                <wp:positionH relativeFrom="column">
                  <wp:posOffset>2243339</wp:posOffset>
                </wp:positionH>
                <wp:positionV relativeFrom="paragraph">
                  <wp:posOffset>923553</wp:posOffset>
                </wp:positionV>
                <wp:extent cx="45719" cy="54822"/>
                <wp:effectExtent l="19050" t="38100" r="50165" b="59690"/>
                <wp:wrapNone/>
                <wp:docPr id="7" name="Star: 4 Points 7"/>
                <wp:cNvGraphicFramePr/>
                <a:graphic xmlns:a="http://schemas.openxmlformats.org/drawingml/2006/main">
                  <a:graphicData uri="http://schemas.microsoft.com/office/word/2010/wordprocessingShape">
                    <wps:wsp>
                      <wps:cNvSpPr/>
                      <wps:spPr>
                        <a:xfrm>
                          <a:off x="0" y="0"/>
                          <a:ext cx="45719" cy="54822"/>
                        </a:xfrm>
                        <a:prstGeom prst="star4">
                          <a:avLst/>
                        </a:prstGeom>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02C73"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ar: 4 Points 7" o:spid="_x0000_s1026" type="#_x0000_t187" style="position:absolute;margin-left:176.65pt;margin-top:72.7pt;width:3.6pt;height: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" fillcolor="#fcb319 [3204]" strokecolor="#fcb319 [3204]" strokeweight="1.5pt"/>
            </w:pict>
          </mc:Fallback>
        </mc:AlternateContent>
      </w:r>
      <w:r>
        <w:rPr>
          <w:noProof/>
        </w:rPr>
        <w:drawing>
          <wp:inline distT="0" distB="0" distL="0" distR="0" wp14:anchorId="4B871647" wp14:editId="186E8B12">
            <wp:extent cx="4738255" cy="3022058"/>
            <wp:effectExtent l="0" t="0" r="571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6641" cy="3097565"/>
                    </a:xfrm>
                    <a:prstGeom prst="rect">
                      <a:avLst/>
                    </a:prstGeom>
                    <a:noFill/>
                  </pic:spPr>
                </pic:pic>
              </a:graphicData>
            </a:graphic>
          </wp:inline>
        </w:drawing>
      </w:r>
    </w:p>
    <w:p w14:paraId="1FBD9740" w14:textId="77777777" w:rsidR="00A00BA5" w:rsidRPr="007B6351" w:rsidRDefault="007B6351" w:rsidP="00A00BA5">
      <w:pPr>
        <w:pStyle w:val="BodyText"/>
        <w:rPr>
          <w:sz w:val="16"/>
          <w:szCs w:val="16"/>
        </w:rPr>
      </w:pPr>
      <w:r>
        <w:rPr>
          <w:noProof/>
        </w:rPr>
        <mc:AlternateContent>
          <mc:Choice Requires="wps">
            <w:drawing>
              <wp:anchor distT="0" distB="0" distL="114300" distR="114300" simplePos="0" relativeHeight="251659264" behindDoc="0" locked="0" layoutInCell="1" allowOverlap="1" wp14:anchorId="63D9ECE1" wp14:editId="3A616E8C">
                <wp:simplePos x="0" y="0"/>
                <wp:positionH relativeFrom="column">
                  <wp:posOffset>1363716</wp:posOffset>
                </wp:positionH>
                <wp:positionV relativeFrom="paragraph">
                  <wp:posOffset>947783</wp:posOffset>
                </wp:positionV>
                <wp:extent cx="622300" cy="660400"/>
                <wp:effectExtent l="57150" t="38100" r="44450" b="82550"/>
                <wp:wrapNone/>
                <wp:docPr id="3" name="Straight Arrow Connector 3"/>
                <wp:cNvGraphicFramePr/>
                <a:graphic xmlns:a="http://schemas.openxmlformats.org/drawingml/2006/main">
                  <a:graphicData uri="http://schemas.microsoft.com/office/word/2010/wordprocessingShape">
                    <wps:wsp>
                      <wps:cNvCnPr/>
                      <wps:spPr>
                        <a:xfrm flipV="1">
                          <a:off x="0" y="0"/>
                          <a:ext cx="622300" cy="660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E399E5" id="Straight Arrow Connector 3" o:spid="_x0000_s1026" type="#_x0000_t32" style="position:absolute;margin-left:107.4pt;margin-top:74.65pt;width:49pt;height:52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" strokecolor="black [3200]" strokeweight="3pt">
                <v:stroke endarrow="block"/>
                <v:shadow on="t" color="black" opacity="22937f" origin=",.5" offset="0,.63889mm"/>
              </v:shape>
            </w:pict>
          </mc:Fallback>
        </mc:AlternateContent>
      </w:r>
      <w:r w:rsidR="00E20716" w:rsidRPr="007B6351">
        <w:rPr>
          <w:sz w:val="16"/>
          <w:szCs w:val="16"/>
        </w:rPr>
        <w:t>Nearmap</w:t>
      </w:r>
    </w:p>
    <w:p w14:paraId="47602979" w14:textId="77777777" w:rsidR="00A00BA5" w:rsidRDefault="007B6351" w:rsidP="00A00BA5">
      <w:pPr>
        <w:pStyle w:val="BodyText"/>
      </w:pPr>
      <w:r>
        <w:rPr>
          <w:noProof/>
        </w:rPr>
        <w:lastRenderedPageBreak/>
        <mc:AlternateContent>
          <mc:Choice Requires="wps">
            <w:drawing>
              <wp:anchor distT="0" distB="0" distL="114300" distR="114300" simplePos="0" relativeHeight="251660288" behindDoc="0" locked="0" layoutInCell="1" allowOverlap="1" wp14:anchorId="46DABF89" wp14:editId="50F2B9F8">
                <wp:simplePos x="0" y="0"/>
                <wp:positionH relativeFrom="column">
                  <wp:posOffset>3248478</wp:posOffset>
                </wp:positionH>
                <wp:positionV relativeFrom="paragraph">
                  <wp:posOffset>1309090</wp:posOffset>
                </wp:positionV>
                <wp:extent cx="66675" cy="752475"/>
                <wp:effectExtent l="76200" t="38100" r="66675" b="66675"/>
                <wp:wrapNone/>
                <wp:docPr id="5" name="Straight Arrow Connector 5"/>
                <wp:cNvGraphicFramePr/>
                <a:graphic xmlns:a="http://schemas.openxmlformats.org/drawingml/2006/main">
                  <a:graphicData uri="http://schemas.microsoft.com/office/word/2010/wordprocessingShape">
                    <wps:wsp>
                      <wps:cNvCnPr/>
                      <wps:spPr>
                        <a:xfrm flipV="1">
                          <a:off x="0" y="0"/>
                          <a:ext cx="66675" cy="75247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073BD" id="Straight Arrow Connector 5" o:spid="_x0000_s1026" type="#_x0000_t32" style="position:absolute;margin-left:255.8pt;margin-top:103.1pt;width:5.25pt;height:59.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" strokecolor="#fddb03 [3209]"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62336" behindDoc="0" locked="0" layoutInCell="1" allowOverlap="1" wp14:anchorId="0AD538B6" wp14:editId="30ED5AE3">
                <wp:simplePos x="0" y="0"/>
                <wp:positionH relativeFrom="column">
                  <wp:posOffset>3323458</wp:posOffset>
                </wp:positionH>
                <wp:positionV relativeFrom="paragraph">
                  <wp:posOffset>1043396</wp:posOffset>
                </wp:positionV>
                <wp:extent cx="154379" cy="201880"/>
                <wp:effectExtent l="38100" t="38100" r="0" b="65405"/>
                <wp:wrapNone/>
                <wp:docPr id="9" name="Star: 4 Points 9"/>
                <wp:cNvGraphicFramePr/>
                <a:graphic xmlns:a="http://schemas.openxmlformats.org/drawingml/2006/main">
                  <a:graphicData uri="http://schemas.microsoft.com/office/word/2010/wordprocessingShape">
                    <wps:wsp>
                      <wps:cNvSpPr/>
                      <wps:spPr>
                        <a:xfrm>
                          <a:off x="0" y="0"/>
                          <a:ext cx="154379" cy="201880"/>
                        </a:xfrm>
                        <a:prstGeom prst="star4">
                          <a:avLst/>
                        </a:prstGeom>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53A2A" id="Star: 4 Points 9" o:spid="_x0000_s1026" type="#_x0000_t187" style="position:absolute;margin-left:261.7pt;margin-top:82.15pt;width:12.15pt;height:1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" fillcolor="#fcb319 [3204]" strokecolor="#fcb319 [3204]" strokeweight="1.5pt"/>
            </w:pict>
          </mc:Fallback>
        </mc:AlternateContent>
      </w:r>
      <w:r w:rsidR="00F412A1">
        <w:rPr>
          <w:noProof/>
        </w:rPr>
        <w:drawing>
          <wp:inline distT="0" distB="0" distL="0" distR="0" wp14:anchorId="1CC475DB" wp14:editId="37EA1FA9">
            <wp:extent cx="5194993" cy="32258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4685" cy="3244237"/>
                    </a:xfrm>
                    <a:prstGeom prst="rect">
                      <a:avLst/>
                    </a:prstGeom>
                    <a:noFill/>
                  </pic:spPr>
                </pic:pic>
              </a:graphicData>
            </a:graphic>
          </wp:inline>
        </w:drawing>
      </w:r>
    </w:p>
    <w:p w14:paraId="4F23DBC6" w14:textId="77777777" w:rsidR="00F412A1" w:rsidRPr="007B6351" w:rsidRDefault="00E20716" w:rsidP="00A00BA5">
      <w:pPr>
        <w:pStyle w:val="BodyText"/>
        <w:rPr>
          <w:sz w:val="16"/>
          <w:szCs w:val="16"/>
        </w:rPr>
      </w:pPr>
      <w:r w:rsidRPr="007B6351">
        <w:rPr>
          <w:sz w:val="16"/>
          <w:szCs w:val="16"/>
        </w:rPr>
        <w:t>Nearmap</w:t>
      </w:r>
    </w:p>
    <w:p w14:paraId="2DB32C73" w14:textId="77777777" w:rsidR="0077601D" w:rsidRDefault="009E4BE5" w:rsidP="00A00BA5">
      <w:pPr>
        <w:pStyle w:val="BodyText"/>
      </w:pPr>
      <w:r>
        <w:rPr>
          <w:noProof/>
        </w:rPr>
        <mc:AlternateContent>
          <mc:Choice Requires="wps">
            <w:drawing>
              <wp:anchor distT="0" distB="0" distL="114300" distR="114300" simplePos="0" relativeHeight="251663360" behindDoc="0" locked="0" layoutInCell="1" allowOverlap="1" wp14:anchorId="2BCD6CB7" wp14:editId="02D0658D">
                <wp:simplePos x="0" y="0"/>
                <wp:positionH relativeFrom="column">
                  <wp:posOffset>2828502</wp:posOffset>
                </wp:positionH>
                <wp:positionV relativeFrom="paragraph">
                  <wp:posOffset>1370542</wp:posOffset>
                </wp:positionV>
                <wp:extent cx="76200" cy="1095375"/>
                <wp:effectExtent l="38100" t="38100" r="76200" b="85725"/>
                <wp:wrapNone/>
                <wp:docPr id="11" name="Straight Arrow Connector 11"/>
                <wp:cNvGraphicFramePr/>
                <a:graphic xmlns:a="http://schemas.openxmlformats.org/drawingml/2006/main">
                  <a:graphicData uri="http://schemas.microsoft.com/office/word/2010/wordprocessingShape">
                    <wps:wsp>
                      <wps:cNvCnPr/>
                      <wps:spPr>
                        <a:xfrm flipV="1">
                          <a:off x="0" y="0"/>
                          <a:ext cx="76200" cy="10953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53A4EE" id="Straight Arrow Connector 11" o:spid="_x0000_s1026" type="#_x0000_t32" style="position:absolute;margin-left:222.7pt;margin-top:107.9pt;width:6pt;height:86.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" strokecolor="black [3200]"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64384" behindDoc="0" locked="0" layoutInCell="1" allowOverlap="1" wp14:anchorId="0FD48720" wp14:editId="6750933E">
                <wp:simplePos x="0" y="0"/>
                <wp:positionH relativeFrom="column">
                  <wp:posOffset>2767965</wp:posOffset>
                </wp:positionH>
                <wp:positionV relativeFrom="paragraph">
                  <wp:posOffset>1340061</wp:posOffset>
                </wp:positionV>
                <wp:extent cx="63500" cy="84667"/>
                <wp:effectExtent l="19050" t="38100" r="31750" b="48895"/>
                <wp:wrapNone/>
                <wp:docPr id="12" name="Star: 4 Points 12"/>
                <wp:cNvGraphicFramePr/>
                <a:graphic xmlns:a="http://schemas.openxmlformats.org/drawingml/2006/main">
                  <a:graphicData uri="http://schemas.microsoft.com/office/word/2010/wordprocessingShape">
                    <wps:wsp>
                      <wps:cNvSpPr/>
                      <wps:spPr>
                        <a:xfrm>
                          <a:off x="0" y="0"/>
                          <a:ext cx="63500" cy="84667"/>
                        </a:xfrm>
                        <a:prstGeom prst="star4">
                          <a:avLst/>
                        </a:prstGeom>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99A9D" id="Star: 4 Points 12" o:spid="_x0000_s1026" type="#_x0000_t187" style="position:absolute;margin-left:217.95pt;margin-top:105.5pt;width:5pt;height: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" fillcolor="#fcb319 [3204]" strokecolor="#fcb319 [3204]" strokeweight="1.5pt"/>
            </w:pict>
          </mc:Fallback>
        </mc:AlternateContent>
      </w:r>
      <w:r w:rsidR="0077601D">
        <w:rPr>
          <w:noProof/>
        </w:rPr>
        <w:drawing>
          <wp:inline distT="0" distB="0" distL="0" distR="0" wp14:anchorId="192DA058" wp14:editId="066D1C40">
            <wp:extent cx="5211233" cy="266798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1596" cy="2683525"/>
                    </a:xfrm>
                    <a:prstGeom prst="rect">
                      <a:avLst/>
                    </a:prstGeom>
                    <a:noFill/>
                  </pic:spPr>
                </pic:pic>
              </a:graphicData>
            </a:graphic>
          </wp:inline>
        </w:drawing>
      </w:r>
    </w:p>
    <w:p w14:paraId="4DBCF25F" w14:textId="77777777" w:rsidR="00F412A1" w:rsidRPr="007B6351" w:rsidRDefault="00E20716" w:rsidP="00A00BA5">
      <w:pPr>
        <w:pStyle w:val="BodyText"/>
        <w:rPr>
          <w:sz w:val="16"/>
          <w:szCs w:val="16"/>
        </w:rPr>
      </w:pPr>
      <w:r w:rsidRPr="007B6351">
        <w:rPr>
          <w:sz w:val="16"/>
          <w:szCs w:val="16"/>
        </w:rPr>
        <w:t xml:space="preserve">Planning Portal </w:t>
      </w:r>
      <w:r w:rsidR="007B6351">
        <w:rPr>
          <w:sz w:val="16"/>
          <w:szCs w:val="16"/>
        </w:rPr>
        <w:t xml:space="preserve">- </w:t>
      </w:r>
      <w:r w:rsidRPr="007B6351">
        <w:rPr>
          <w:sz w:val="16"/>
          <w:szCs w:val="16"/>
        </w:rPr>
        <w:t>zoning (LZN_006A)</w:t>
      </w:r>
    </w:p>
    <w:p w14:paraId="64AB01FF" w14:textId="77777777" w:rsidR="00A00BA5" w:rsidRPr="0024179E" w:rsidRDefault="0024179E" w:rsidP="003860D4">
      <w:pPr>
        <w:pStyle w:val="BodyText"/>
        <w:numPr>
          <w:ilvl w:val="1"/>
          <w:numId w:val="10"/>
        </w:numPr>
        <w:rPr>
          <w:b/>
        </w:rPr>
      </w:pPr>
      <w:r w:rsidRPr="0024179E">
        <w:rPr>
          <w:b/>
        </w:rPr>
        <w:t>Key issues</w:t>
      </w:r>
    </w:p>
    <w:p w14:paraId="0F788B86" w14:textId="77777777" w:rsidR="0024179E" w:rsidRDefault="0024179E" w:rsidP="0024179E">
      <w:pPr>
        <w:pStyle w:val="BodyText"/>
      </w:pPr>
      <w:r>
        <w:t>The key issues in our assessment of this application are:</w:t>
      </w:r>
    </w:p>
    <w:p w14:paraId="1E8D5F23" w14:textId="77777777" w:rsidR="0051452A" w:rsidRDefault="0051452A" w:rsidP="0051452A">
      <w:pPr>
        <w:pStyle w:val="ListBullet"/>
      </w:pPr>
      <w:r>
        <w:t>Flooding</w:t>
      </w:r>
    </w:p>
    <w:p w14:paraId="308771D2" w14:textId="77777777" w:rsidR="0051452A" w:rsidRDefault="0051452A" w:rsidP="0051452A">
      <w:pPr>
        <w:pStyle w:val="ListBullet"/>
      </w:pPr>
      <w:r>
        <w:t>Voluntary Planning Agreement</w:t>
      </w:r>
      <w:r w:rsidR="00257670">
        <w:t xml:space="preserve"> </w:t>
      </w:r>
    </w:p>
    <w:p w14:paraId="5726504B" w14:textId="77777777" w:rsidR="0051452A" w:rsidRDefault="0051452A" w:rsidP="0051452A">
      <w:pPr>
        <w:pStyle w:val="ListBullet"/>
      </w:pPr>
      <w:r>
        <w:t>Ownership</w:t>
      </w:r>
    </w:p>
    <w:p w14:paraId="73E32044" w14:textId="77777777" w:rsidR="0051452A" w:rsidRDefault="0051452A" w:rsidP="0051452A">
      <w:pPr>
        <w:pStyle w:val="ListBullet"/>
      </w:pPr>
      <w:r>
        <w:t>Continued public access to the Darling River</w:t>
      </w:r>
    </w:p>
    <w:p w14:paraId="6B59B46E" w14:textId="77777777" w:rsidR="0051452A" w:rsidRDefault="0051452A" w:rsidP="0051452A">
      <w:pPr>
        <w:pStyle w:val="ListBullet"/>
      </w:pPr>
      <w:r>
        <w:t>Matters raised by the Western Regional Planning Panel at the briefing held on 15 February, 2022.</w:t>
      </w:r>
    </w:p>
    <w:p w14:paraId="6B6BD72B" w14:textId="77777777" w:rsidR="005C307A" w:rsidRDefault="0031315D" w:rsidP="005C307A">
      <w:pPr>
        <w:pStyle w:val="BodyText"/>
      </w:pPr>
      <w:r>
        <w:t>These issues are discussed later in this report.</w:t>
      </w:r>
    </w:p>
    <w:p w14:paraId="232A8C87" w14:textId="77777777" w:rsidR="0031315D" w:rsidRDefault="0031315D" w:rsidP="005C307A">
      <w:pPr>
        <w:pStyle w:val="BodyText"/>
      </w:pPr>
    </w:p>
    <w:p w14:paraId="325DCCEB" w14:textId="77777777" w:rsidR="007B6351" w:rsidRDefault="007B6351" w:rsidP="005C307A">
      <w:pPr>
        <w:pStyle w:val="BodyText"/>
      </w:pPr>
    </w:p>
    <w:p w14:paraId="538B1DD9" w14:textId="77777777" w:rsidR="005C307A" w:rsidRPr="00695DB1" w:rsidRDefault="005C307A" w:rsidP="003860D4">
      <w:pPr>
        <w:pStyle w:val="Heading1Numbered"/>
        <w:numPr>
          <w:ilvl w:val="6"/>
          <w:numId w:val="6"/>
        </w:numPr>
        <w:ind w:left="709" w:hanging="709"/>
      </w:pPr>
      <w:r>
        <w:lastRenderedPageBreak/>
        <w:t>DESCRIPTION OF PROPOSAL</w:t>
      </w:r>
    </w:p>
    <w:p w14:paraId="1B04FCCE" w14:textId="77777777" w:rsidR="005C307A" w:rsidRPr="005C307A" w:rsidRDefault="0051452A" w:rsidP="005C307A">
      <w:pPr>
        <w:pStyle w:val="BodyText"/>
        <w:rPr>
          <w:b/>
        </w:rPr>
      </w:pPr>
      <w:r>
        <w:rPr>
          <w:b/>
        </w:rPr>
        <w:t>2.1</w:t>
      </w:r>
      <w:r>
        <w:rPr>
          <w:b/>
        </w:rPr>
        <w:tab/>
      </w:r>
      <w:r w:rsidR="005C307A" w:rsidRPr="005C307A">
        <w:rPr>
          <w:b/>
        </w:rPr>
        <w:t>Description of proposal</w:t>
      </w:r>
    </w:p>
    <w:p w14:paraId="29631EB0" w14:textId="77777777" w:rsidR="005C307A" w:rsidRPr="000F4BE6" w:rsidRDefault="00BA1F37" w:rsidP="005C307A">
      <w:pPr>
        <w:pStyle w:val="BodyText"/>
      </w:pPr>
      <w:r w:rsidRPr="000F4BE6">
        <w:t xml:space="preserve">The key components and features of the proposal are provided in </w:t>
      </w:r>
      <w:r w:rsidRPr="002B7E5D">
        <w:t>Table 1</w:t>
      </w:r>
      <w:r w:rsidRPr="000F4BE6">
        <w:t xml:space="preserve"> and </w:t>
      </w:r>
      <w:r w:rsidR="009E4BE5" w:rsidRPr="000F4BE6">
        <w:t>the site plan below</w:t>
      </w:r>
      <w:r w:rsidRPr="000F4BE6">
        <w:t>.</w:t>
      </w:r>
    </w:p>
    <w:tbl>
      <w:tblPr>
        <w:tblStyle w:val="BCCTable"/>
        <w:tblW w:w="0" w:type="auto"/>
        <w:tblLook w:val="04A0" w:firstRow="1" w:lastRow="0" w:firstColumn="1" w:lastColumn="0" w:noHBand="0" w:noVBand="1"/>
      </w:tblPr>
      <w:tblGrid>
        <w:gridCol w:w="1560"/>
        <w:gridCol w:w="8078"/>
      </w:tblGrid>
      <w:tr w:rsidR="00BA1F37" w:rsidRPr="000F4BE6" w14:paraId="6138E42D" w14:textId="77777777" w:rsidTr="00BA1F37">
        <w:trPr>
          <w:cnfStyle w:val="100000000000" w:firstRow="1" w:lastRow="0" w:firstColumn="0" w:lastColumn="0" w:oddVBand="0" w:evenVBand="0" w:oddHBand="0" w:evenHBand="0" w:firstRowFirstColumn="0" w:firstRowLastColumn="0" w:lastRowFirstColumn="0" w:lastRowLastColumn="0"/>
        </w:trPr>
        <w:tc>
          <w:tcPr>
            <w:tcW w:w="1560" w:type="dxa"/>
          </w:tcPr>
          <w:p w14:paraId="5A9D1416" w14:textId="77777777" w:rsidR="00BA1F37" w:rsidRPr="000F4BE6" w:rsidRDefault="00BA1F37" w:rsidP="005C307A">
            <w:pPr>
              <w:pStyle w:val="BodyText"/>
              <w:rPr>
                <w:sz w:val="22"/>
                <w:highlight w:val="lightGray"/>
              </w:rPr>
            </w:pPr>
            <w:r w:rsidRPr="000F4BE6">
              <w:rPr>
                <w:sz w:val="22"/>
                <w:highlight w:val="lightGray"/>
              </w:rPr>
              <w:t xml:space="preserve">Aspect </w:t>
            </w:r>
          </w:p>
        </w:tc>
        <w:tc>
          <w:tcPr>
            <w:tcW w:w="8078" w:type="dxa"/>
          </w:tcPr>
          <w:p w14:paraId="57187B23" w14:textId="77777777" w:rsidR="00BA1F37" w:rsidRPr="000F4BE6" w:rsidRDefault="00BA1F37" w:rsidP="005C307A">
            <w:pPr>
              <w:pStyle w:val="BodyText"/>
              <w:rPr>
                <w:sz w:val="22"/>
                <w:highlight w:val="lightGray"/>
              </w:rPr>
            </w:pPr>
            <w:r w:rsidRPr="000F4BE6">
              <w:rPr>
                <w:sz w:val="22"/>
                <w:highlight w:val="lightGray"/>
              </w:rPr>
              <w:t>Desc</w:t>
            </w:r>
            <w:r w:rsidR="009E4BE5" w:rsidRPr="000F4BE6">
              <w:rPr>
                <w:sz w:val="22"/>
                <w:highlight w:val="lightGray"/>
              </w:rPr>
              <w:t>r</w:t>
            </w:r>
            <w:r w:rsidRPr="000F4BE6">
              <w:rPr>
                <w:sz w:val="22"/>
                <w:highlight w:val="lightGray"/>
              </w:rPr>
              <w:t xml:space="preserve">iption </w:t>
            </w:r>
          </w:p>
        </w:tc>
      </w:tr>
      <w:tr w:rsidR="00BA1F37" w:rsidRPr="000F4BE6" w14:paraId="1E612C13" w14:textId="77777777" w:rsidTr="00BA1F37">
        <w:tc>
          <w:tcPr>
            <w:tcW w:w="1560" w:type="dxa"/>
          </w:tcPr>
          <w:p w14:paraId="5E9672DB" w14:textId="77777777" w:rsidR="00BA1F37" w:rsidRPr="000F4BE6" w:rsidRDefault="00BA1F37" w:rsidP="005C307A">
            <w:pPr>
              <w:pStyle w:val="BodyText"/>
              <w:rPr>
                <w:sz w:val="22"/>
              </w:rPr>
            </w:pPr>
            <w:r w:rsidRPr="000F4BE6">
              <w:rPr>
                <w:sz w:val="22"/>
              </w:rPr>
              <w:t>Built form</w:t>
            </w:r>
          </w:p>
        </w:tc>
        <w:tc>
          <w:tcPr>
            <w:tcW w:w="8078" w:type="dxa"/>
          </w:tcPr>
          <w:p w14:paraId="4CC11399" w14:textId="77777777" w:rsidR="00ED37B8" w:rsidRPr="000F4BE6" w:rsidRDefault="00BA1F37" w:rsidP="002C7507">
            <w:pPr>
              <w:pStyle w:val="BodyText"/>
              <w:numPr>
                <w:ilvl w:val="0"/>
                <w:numId w:val="11"/>
              </w:numPr>
              <w:spacing w:line="240" w:lineRule="auto"/>
              <w:rPr>
                <w:sz w:val="22"/>
              </w:rPr>
            </w:pPr>
            <w:r w:rsidRPr="000F4BE6">
              <w:rPr>
                <w:sz w:val="22"/>
              </w:rPr>
              <w:t xml:space="preserve">Single storey </w:t>
            </w:r>
            <w:r w:rsidR="00437731" w:rsidRPr="000F4BE6">
              <w:rPr>
                <w:sz w:val="22"/>
              </w:rPr>
              <w:t>130m</w:t>
            </w:r>
            <w:r w:rsidR="00437731" w:rsidRPr="000F4BE6">
              <w:rPr>
                <w:rFonts w:cstheme="minorHAnsi"/>
                <w:sz w:val="22"/>
              </w:rPr>
              <w:t>²</w:t>
            </w:r>
            <w:r w:rsidR="00437731" w:rsidRPr="000F4BE6">
              <w:rPr>
                <w:sz w:val="22"/>
              </w:rPr>
              <w:t xml:space="preserve"> floor area </w:t>
            </w:r>
            <w:r w:rsidRPr="000F4BE6">
              <w:rPr>
                <w:sz w:val="22"/>
              </w:rPr>
              <w:t>‘Keeping Well’ building</w:t>
            </w:r>
            <w:r w:rsidR="00ED37B8" w:rsidRPr="000F4BE6">
              <w:rPr>
                <w:sz w:val="22"/>
              </w:rPr>
              <w:t xml:space="preserve"> at the south-eastern part of the site containing 2 treatment rooms, 3 consultation rooms, mental health room and bathrooms</w:t>
            </w:r>
          </w:p>
          <w:p w14:paraId="2619BED5" w14:textId="77777777" w:rsidR="0071749E" w:rsidRPr="000F4BE6" w:rsidRDefault="00BA1F37" w:rsidP="002C7507">
            <w:pPr>
              <w:pStyle w:val="BodyText"/>
              <w:numPr>
                <w:ilvl w:val="0"/>
                <w:numId w:val="11"/>
              </w:numPr>
              <w:spacing w:line="240" w:lineRule="auto"/>
              <w:rPr>
                <w:sz w:val="22"/>
              </w:rPr>
            </w:pPr>
            <w:r w:rsidRPr="000F4BE6">
              <w:rPr>
                <w:sz w:val="22"/>
              </w:rPr>
              <w:t xml:space="preserve">Single storey </w:t>
            </w:r>
            <w:r w:rsidR="00437731" w:rsidRPr="000F4BE6">
              <w:rPr>
                <w:sz w:val="22"/>
              </w:rPr>
              <w:t>200m</w:t>
            </w:r>
            <w:r w:rsidR="00437731" w:rsidRPr="000F4BE6">
              <w:rPr>
                <w:rFonts w:cstheme="minorHAnsi"/>
                <w:sz w:val="22"/>
              </w:rPr>
              <w:t>²</w:t>
            </w:r>
            <w:r w:rsidR="00437731" w:rsidRPr="000F4BE6">
              <w:rPr>
                <w:sz w:val="22"/>
              </w:rPr>
              <w:t xml:space="preserve"> floor area </w:t>
            </w:r>
            <w:r w:rsidRPr="000F4BE6">
              <w:rPr>
                <w:sz w:val="22"/>
              </w:rPr>
              <w:t>‘Nerve Centre’ building</w:t>
            </w:r>
            <w:r w:rsidR="00ED37B8" w:rsidRPr="000F4BE6">
              <w:rPr>
                <w:sz w:val="22"/>
              </w:rPr>
              <w:t xml:space="preserve"> in the centre of the site containing </w:t>
            </w:r>
            <w:r w:rsidR="0071749E" w:rsidRPr="000F4BE6">
              <w:rPr>
                <w:sz w:val="22"/>
              </w:rPr>
              <w:t xml:space="preserve">entry deck, </w:t>
            </w:r>
            <w:r w:rsidR="00ED37B8" w:rsidRPr="000F4BE6">
              <w:rPr>
                <w:sz w:val="22"/>
              </w:rPr>
              <w:t>staff office space</w:t>
            </w:r>
            <w:r w:rsidR="0071749E" w:rsidRPr="000F4BE6">
              <w:rPr>
                <w:sz w:val="22"/>
              </w:rPr>
              <w:t>s</w:t>
            </w:r>
            <w:r w:rsidR="00ED37B8" w:rsidRPr="000F4BE6">
              <w:rPr>
                <w:sz w:val="22"/>
              </w:rPr>
              <w:t>, waiting deck area</w:t>
            </w:r>
            <w:r w:rsidR="005F311C" w:rsidRPr="000F4BE6">
              <w:rPr>
                <w:sz w:val="22"/>
              </w:rPr>
              <w:t>s</w:t>
            </w:r>
            <w:r w:rsidR="0071749E" w:rsidRPr="000F4BE6">
              <w:rPr>
                <w:sz w:val="22"/>
              </w:rPr>
              <w:t xml:space="preserve"> (including pram and mobility scooter areas), bathrooms, reception, </w:t>
            </w:r>
          </w:p>
          <w:p w14:paraId="44BABA95" w14:textId="77777777" w:rsidR="00BA1F37" w:rsidRPr="000F4BE6" w:rsidRDefault="00BA1F37" w:rsidP="002C7507">
            <w:pPr>
              <w:pStyle w:val="BodyText"/>
              <w:numPr>
                <w:ilvl w:val="0"/>
                <w:numId w:val="11"/>
              </w:numPr>
              <w:spacing w:line="240" w:lineRule="auto"/>
              <w:rPr>
                <w:sz w:val="22"/>
              </w:rPr>
            </w:pPr>
            <w:r w:rsidRPr="000F4BE6">
              <w:rPr>
                <w:sz w:val="22"/>
              </w:rPr>
              <w:t xml:space="preserve">Single storey </w:t>
            </w:r>
            <w:r w:rsidR="00437731" w:rsidRPr="000F4BE6">
              <w:rPr>
                <w:sz w:val="22"/>
              </w:rPr>
              <w:t>130m</w:t>
            </w:r>
            <w:r w:rsidR="00437731" w:rsidRPr="000F4BE6">
              <w:rPr>
                <w:rFonts w:cstheme="minorHAnsi"/>
                <w:sz w:val="22"/>
              </w:rPr>
              <w:t>²</w:t>
            </w:r>
            <w:r w:rsidR="00437731" w:rsidRPr="000F4BE6">
              <w:rPr>
                <w:sz w:val="22"/>
              </w:rPr>
              <w:t xml:space="preserve"> floor area </w:t>
            </w:r>
            <w:r w:rsidRPr="000F4BE6">
              <w:rPr>
                <w:sz w:val="22"/>
              </w:rPr>
              <w:t>‘Healthy Start’ building</w:t>
            </w:r>
            <w:r w:rsidR="0071749E" w:rsidRPr="000F4BE6">
              <w:rPr>
                <w:sz w:val="22"/>
              </w:rPr>
              <w:t xml:space="preserve"> at the north-western part of the site containing 3 consultation rooms, bathrooms, cleaner/storeroom, meeting room, staff room and 2 river view deck spaces. </w:t>
            </w:r>
          </w:p>
          <w:p w14:paraId="4A94D1BA" w14:textId="77777777" w:rsidR="00BA1F37" w:rsidRPr="000F4BE6" w:rsidRDefault="00BA1F37" w:rsidP="002C7507">
            <w:pPr>
              <w:pStyle w:val="BodyText"/>
              <w:numPr>
                <w:ilvl w:val="0"/>
                <w:numId w:val="11"/>
              </w:numPr>
              <w:spacing w:line="240" w:lineRule="auto"/>
              <w:rPr>
                <w:sz w:val="22"/>
              </w:rPr>
            </w:pPr>
            <w:r w:rsidRPr="000F4BE6">
              <w:rPr>
                <w:sz w:val="22"/>
              </w:rPr>
              <w:t xml:space="preserve">East and west </w:t>
            </w:r>
            <w:r w:rsidR="00437731" w:rsidRPr="000F4BE6">
              <w:rPr>
                <w:sz w:val="22"/>
              </w:rPr>
              <w:t xml:space="preserve">corridor </w:t>
            </w:r>
            <w:r w:rsidRPr="000F4BE6">
              <w:rPr>
                <w:sz w:val="22"/>
              </w:rPr>
              <w:t>links connecting the 3 buildings</w:t>
            </w:r>
          </w:p>
          <w:p w14:paraId="4A3EA01D" w14:textId="77777777" w:rsidR="0085503F" w:rsidRPr="000F4BE6" w:rsidRDefault="000F4BE6" w:rsidP="002C7507">
            <w:pPr>
              <w:pStyle w:val="BodyText"/>
              <w:numPr>
                <w:ilvl w:val="0"/>
                <w:numId w:val="11"/>
              </w:numPr>
              <w:spacing w:line="240" w:lineRule="auto"/>
              <w:rPr>
                <w:sz w:val="22"/>
              </w:rPr>
            </w:pPr>
            <w:r w:rsidRPr="000F4BE6">
              <w:rPr>
                <w:sz w:val="22"/>
              </w:rPr>
              <w:t>Metal roofing over the buildings and links</w:t>
            </w:r>
          </w:p>
          <w:p w14:paraId="5F9166AE" w14:textId="77777777" w:rsidR="000F4BE6" w:rsidRPr="000F4BE6" w:rsidRDefault="000F4BE6" w:rsidP="002C7507">
            <w:pPr>
              <w:pStyle w:val="BodyText"/>
              <w:numPr>
                <w:ilvl w:val="0"/>
                <w:numId w:val="11"/>
              </w:numPr>
              <w:spacing w:line="240" w:lineRule="auto"/>
              <w:rPr>
                <w:sz w:val="22"/>
              </w:rPr>
            </w:pPr>
            <w:r w:rsidRPr="000F4BE6">
              <w:rPr>
                <w:sz w:val="22"/>
              </w:rPr>
              <w:t xml:space="preserve">Fibre cement </w:t>
            </w:r>
            <w:r>
              <w:rPr>
                <w:sz w:val="22"/>
              </w:rPr>
              <w:t xml:space="preserve">and metal </w:t>
            </w:r>
            <w:r w:rsidRPr="000F4BE6">
              <w:rPr>
                <w:sz w:val="22"/>
              </w:rPr>
              <w:t>wall sheeting</w:t>
            </w:r>
            <w:r>
              <w:rPr>
                <w:sz w:val="22"/>
              </w:rPr>
              <w:t xml:space="preserve"> </w:t>
            </w:r>
          </w:p>
          <w:p w14:paraId="681CFB7F" w14:textId="77777777" w:rsidR="000F4BE6" w:rsidRPr="000F4BE6" w:rsidRDefault="000F4BE6" w:rsidP="002C7507">
            <w:pPr>
              <w:pStyle w:val="BodyText"/>
              <w:numPr>
                <w:ilvl w:val="0"/>
                <w:numId w:val="11"/>
              </w:numPr>
              <w:spacing w:line="240" w:lineRule="auto"/>
              <w:rPr>
                <w:sz w:val="22"/>
              </w:rPr>
            </w:pPr>
            <w:r w:rsidRPr="000F4BE6">
              <w:rPr>
                <w:sz w:val="22"/>
              </w:rPr>
              <w:t>Cypress pine and fibreglass mesh decking</w:t>
            </w:r>
          </w:p>
          <w:p w14:paraId="3AE9329F" w14:textId="77777777" w:rsidR="000F4BE6" w:rsidRPr="00342544" w:rsidRDefault="00342544" w:rsidP="002C7507">
            <w:pPr>
              <w:pStyle w:val="BodyText"/>
              <w:numPr>
                <w:ilvl w:val="0"/>
                <w:numId w:val="11"/>
              </w:numPr>
              <w:spacing w:line="240" w:lineRule="auto"/>
              <w:rPr>
                <w:rStyle w:val="Emphasis"/>
                <w:rFonts w:cstheme="minorHAnsi"/>
                <w:i w:val="0"/>
                <w:iCs w:val="0"/>
                <w:sz w:val="22"/>
              </w:rPr>
            </w:pPr>
            <w:r>
              <w:rPr>
                <w:rFonts w:cstheme="minorHAnsi"/>
                <w:sz w:val="22"/>
                <w:shd w:val="clear" w:color="auto" w:fill="FFFFFF"/>
              </w:rPr>
              <w:t>D</w:t>
            </w:r>
            <w:r w:rsidR="000F4BE6" w:rsidRPr="000F4BE6">
              <w:rPr>
                <w:rFonts w:cstheme="minorHAnsi"/>
                <w:sz w:val="22"/>
                <w:shd w:val="clear" w:color="auto" w:fill="FFFFFF"/>
              </w:rPr>
              <w:t>ecorative metal screens and </w:t>
            </w:r>
            <w:r w:rsidR="000F4BE6" w:rsidRPr="000F4BE6">
              <w:rPr>
                <w:rStyle w:val="Emphasis"/>
                <w:rFonts w:cstheme="minorHAnsi"/>
                <w:bCs/>
                <w:i w:val="0"/>
                <w:iCs w:val="0"/>
                <w:sz w:val="22"/>
                <w:shd w:val="clear" w:color="auto" w:fill="FFFFFF"/>
              </w:rPr>
              <w:t>panels</w:t>
            </w:r>
          </w:p>
          <w:p w14:paraId="1F47BE6D" w14:textId="77777777" w:rsidR="00342544" w:rsidRPr="000F4BE6" w:rsidRDefault="00342544" w:rsidP="002C7507">
            <w:pPr>
              <w:pStyle w:val="BodyText"/>
              <w:numPr>
                <w:ilvl w:val="0"/>
                <w:numId w:val="11"/>
              </w:numPr>
              <w:spacing w:line="240" w:lineRule="auto"/>
              <w:rPr>
                <w:rFonts w:cstheme="minorHAnsi"/>
                <w:sz w:val="22"/>
              </w:rPr>
            </w:pPr>
            <w:r>
              <w:rPr>
                <w:rFonts w:cstheme="minorHAnsi"/>
                <w:sz w:val="22"/>
              </w:rPr>
              <w:t>Steel columns</w:t>
            </w:r>
          </w:p>
        </w:tc>
      </w:tr>
      <w:tr w:rsidR="00BA1F37" w:rsidRPr="000F4BE6" w14:paraId="53E783B2" w14:textId="77777777" w:rsidTr="00BA1F37">
        <w:tc>
          <w:tcPr>
            <w:tcW w:w="1560" w:type="dxa"/>
          </w:tcPr>
          <w:p w14:paraId="10E48B87" w14:textId="77777777" w:rsidR="00BA1F37" w:rsidRPr="000F4BE6" w:rsidRDefault="0071749E" w:rsidP="005C307A">
            <w:pPr>
              <w:pStyle w:val="BodyText"/>
              <w:rPr>
                <w:sz w:val="22"/>
              </w:rPr>
            </w:pPr>
            <w:r w:rsidRPr="000F4BE6">
              <w:rPr>
                <w:sz w:val="22"/>
              </w:rPr>
              <w:t>Ancillary facilities</w:t>
            </w:r>
          </w:p>
        </w:tc>
        <w:tc>
          <w:tcPr>
            <w:tcW w:w="8078" w:type="dxa"/>
          </w:tcPr>
          <w:p w14:paraId="2AC97D7B" w14:textId="77777777" w:rsidR="00BA1F37" w:rsidRPr="000F4BE6" w:rsidRDefault="0071749E" w:rsidP="002C7507">
            <w:pPr>
              <w:pStyle w:val="BodyText"/>
              <w:numPr>
                <w:ilvl w:val="0"/>
                <w:numId w:val="12"/>
              </w:numPr>
              <w:spacing w:line="240" w:lineRule="auto"/>
              <w:rPr>
                <w:sz w:val="22"/>
              </w:rPr>
            </w:pPr>
            <w:r w:rsidRPr="000F4BE6">
              <w:rPr>
                <w:sz w:val="22"/>
              </w:rPr>
              <w:t>Garden deck</w:t>
            </w:r>
          </w:p>
          <w:p w14:paraId="0EDF9D72" w14:textId="77777777" w:rsidR="00437731" w:rsidRPr="000F4BE6" w:rsidRDefault="00437731" w:rsidP="002C7507">
            <w:pPr>
              <w:pStyle w:val="BodyText"/>
              <w:numPr>
                <w:ilvl w:val="0"/>
                <w:numId w:val="12"/>
              </w:numPr>
              <w:spacing w:line="240" w:lineRule="auto"/>
              <w:rPr>
                <w:sz w:val="22"/>
              </w:rPr>
            </w:pPr>
            <w:r w:rsidRPr="000F4BE6">
              <w:rPr>
                <w:sz w:val="22"/>
              </w:rPr>
              <w:t>Sculpture garden</w:t>
            </w:r>
          </w:p>
          <w:p w14:paraId="33A7D603" w14:textId="77777777" w:rsidR="0071749E" w:rsidRPr="000F4BE6" w:rsidRDefault="0071749E" w:rsidP="002C7507">
            <w:pPr>
              <w:pStyle w:val="BodyText"/>
              <w:numPr>
                <w:ilvl w:val="0"/>
                <w:numId w:val="12"/>
              </w:numPr>
              <w:spacing w:line="240" w:lineRule="auto"/>
              <w:rPr>
                <w:sz w:val="22"/>
              </w:rPr>
            </w:pPr>
            <w:r w:rsidRPr="000F4BE6">
              <w:rPr>
                <w:sz w:val="22"/>
              </w:rPr>
              <w:t>Ambulance drop off</w:t>
            </w:r>
            <w:r w:rsidR="00437731" w:rsidRPr="000F4BE6">
              <w:rPr>
                <w:sz w:val="22"/>
              </w:rPr>
              <w:t xml:space="preserve"> &amp; turning apron</w:t>
            </w:r>
          </w:p>
          <w:p w14:paraId="48CA0263" w14:textId="77777777" w:rsidR="00437731" w:rsidRPr="000F4BE6" w:rsidRDefault="00437731" w:rsidP="002C7507">
            <w:pPr>
              <w:pStyle w:val="BodyText"/>
              <w:numPr>
                <w:ilvl w:val="0"/>
                <w:numId w:val="12"/>
              </w:numPr>
              <w:spacing w:line="240" w:lineRule="auto"/>
              <w:rPr>
                <w:sz w:val="22"/>
              </w:rPr>
            </w:pPr>
            <w:r w:rsidRPr="000F4BE6">
              <w:rPr>
                <w:sz w:val="22"/>
              </w:rPr>
              <w:t>Disabled ramp</w:t>
            </w:r>
          </w:p>
          <w:p w14:paraId="08CA6CE1" w14:textId="77777777" w:rsidR="00437731" w:rsidRPr="000F4BE6" w:rsidRDefault="00437731" w:rsidP="002C7507">
            <w:pPr>
              <w:pStyle w:val="BodyText"/>
              <w:numPr>
                <w:ilvl w:val="0"/>
                <w:numId w:val="12"/>
              </w:numPr>
              <w:spacing w:line="240" w:lineRule="auto"/>
              <w:rPr>
                <w:sz w:val="22"/>
              </w:rPr>
            </w:pPr>
            <w:r w:rsidRPr="000F4BE6">
              <w:rPr>
                <w:sz w:val="22"/>
              </w:rPr>
              <w:t>Drop off</w:t>
            </w:r>
          </w:p>
          <w:p w14:paraId="58BFB034" w14:textId="77777777" w:rsidR="00437731" w:rsidRPr="000F4BE6" w:rsidRDefault="00437731" w:rsidP="002C7507">
            <w:pPr>
              <w:pStyle w:val="BodyText"/>
              <w:numPr>
                <w:ilvl w:val="0"/>
                <w:numId w:val="12"/>
              </w:numPr>
              <w:spacing w:line="240" w:lineRule="auto"/>
              <w:rPr>
                <w:sz w:val="22"/>
              </w:rPr>
            </w:pPr>
            <w:r w:rsidRPr="000F4BE6">
              <w:rPr>
                <w:sz w:val="22"/>
              </w:rPr>
              <w:t>Plant and generators</w:t>
            </w:r>
          </w:p>
          <w:p w14:paraId="4CD7AB22" w14:textId="77777777" w:rsidR="00437731" w:rsidRPr="000F4BE6" w:rsidRDefault="00437731" w:rsidP="002C7507">
            <w:pPr>
              <w:pStyle w:val="BodyText"/>
              <w:numPr>
                <w:ilvl w:val="0"/>
                <w:numId w:val="12"/>
              </w:numPr>
              <w:spacing w:line="240" w:lineRule="auto"/>
              <w:rPr>
                <w:sz w:val="22"/>
              </w:rPr>
            </w:pPr>
            <w:r w:rsidRPr="000F4BE6">
              <w:rPr>
                <w:sz w:val="22"/>
              </w:rPr>
              <w:t xml:space="preserve">Community gathering and river lookout adjacent to the top of the bank of the Darling River </w:t>
            </w:r>
          </w:p>
          <w:p w14:paraId="08CD14F1" w14:textId="77777777" w:rsidR="00437731" w:rsidRPr="000F4BE6" w:rsidRDefault="00437731" w:rsidP="002C7507">
            <w:pPr>
              <w:pStyle w:val="BodyText"/>
              <w:numPr>
                <w:ilvl w:val="0"/>
                <w:numId w:val="12"/>
              </w:numPr>
              <w:spacing w:line="240" w:lineRule="auto"/>
              <w:rPr>
                <w:sz w:val="22"/>
              </w:rPr>
            </w:pPr>
            <w:r w:rsidRPr="000F4BE6">
              <w:rPr>
                <w:rFonts w:ascii="Arial" w:hAnsi="Arial" w:cs="Arial"/>
                <w:sz w:val="22"/>
                <w:shd w:val="clear" w:color="auto" w:fill="FFFFFF"/>
              </w:rPr>
              <w:t>Photovoltaic panels to provide solar access to each of the 3 buildings</w:t>
            </w:r>
          </w:p>
          <w:p w14:paraId="3EA91002" w14:textId="77777777" w:rsidR="00437731" w:rsidRPr="000F4BE6" w:rsidRDefault="00437731" w:rsidP="002C7507">
            <w:pPr>
              <w:pStyle w:val="BodyText"/>
              <w:numPr>
                <w:ilvl w:val="0"/>
                <w:numId w:val="12"/>
              </w:numPr>
              <w:spacing w:line="240" w:lineRule="auto"/>
              <w:rPr>
                <w:sz w:val="22"/>
              </w:rPr>
            </w:pPr>
            <w:r w:rsidRPr="000F4BE6">
              <w:rPr>
                <w:sz w:val="22"/>
              </w:rPr>
              <w:t>Landscaping utilising a range of endemic and native species.</w:t>
            </w:r>
          </w:p>
          <w:p w14:paraId="76D7E7E0" w14:textId="77777777" w:rsidR="00437731" w:rsidRPr="000F4BE6" w:rsidRDefault="00437731" w:rsidP="002C7507">
            <w:pPr>
              <w:pStyle w:val="BodyText"/>
              <w:numPr>
                <w:ilvl w:val="0"/>
                <w:numId w:val="12"/>
              </w:numPr>
              <w:spacing w:line="240" w:lineRule="auto"/>
              <w:rPr>
                <w:sz w:val="22"/>
              </w:rPr>
            </w:pPr>
            <w:r w:rsidRPr="000F4BE6">
              <w:rPr>
                <w:sz w:val="22"/>
              </w:rPr>
              <w:t>Drainage and civil works</w:t>
            </w:r>
          </w:p>
        </w:tc>
      </w:tr>
      <w:tr w:rsidR="00BA1F37" w:rsidRPr="000F4BE6" w14:paraId="06E0E1B0" w14:textId="77777777" w:rsidTr="00BA1F37">
        <w:tc>
          <w:tcPr>
            <w:tcW w:w="1560" w:type="dxa"/>
          </w:tcPr>
          <w:p w14:paraId="73B41F4C" w14:textId="77777777" w:rsidR="00BA1F37" w:rsidRPr="000F4BE6" w:rsidRDefault="00437731" w:rsidP="005C307A">
            <w:pPr>
              <w:pStyle w:val="BodyText"/>
              <w:rPr>
                <w:sz w:val="22"/>
              </w:rPr>
            </w:pPr>
            <w:r w:rsidRPr="000F4BE6">
              <w:rPr>
                <w:sz w:val="22"/>
              </w:rPr>
              <w:t>Subdivision</w:t>
            </w:r>
          </w:p>
        </w:tc>
        <w:tc>
          <w:tcPr>
            <w:tcW w:w="8078" w:type="dxa"/>
          </w:tcPr>
          <w:p w14:paraId="6021AC6E" w14:textId="77777777" w:rsidR="00BA1F37" w:rsidRPr="000F4BE6" w:rsidRDefault="00437731" w:rsidP="005C307A">
            <w:pPr>
              <w:pStyle w:val="BodyText"/>
              <w:rPr>
                <w:sz w:val="22"/>
              </w:rPr>
            </w:pPr>
            <w:r w:rsidRPr="000F4BE6">
              <w:rPr>
                <w:sz w:val="22"/>
              </w:rPr>
              <w:t>The land will be consolidated as part of this development</w:t>
            </w:r>
          </w:p>
        </w:tc>
      </w:tr>
      <w:tr w:rsidR="00BA1F37" w:rsidRPr="000F4BE6" w14:paraId="079E4C2A" w14:textId="77777777" w:rsidTr="00BA1F37">
        <w:tc>
          <w:tcPr>
            <w:tcW w:w="1560" w:type="dxa"/>
          </w:tcPr>
          <w:p w14:paraId="7C3EDBB9" w14:textId="77777777" w:rsidR="00BA1F37" w:rsidRPr="000F4BE6" w:rsidRDefault="00437731" w:rsidP="005C307A">
            <w:pPr>
              <w:pStyle w:val="BodyText"/>
              <w:rPr>
                <w:sz w:val="22"/>
              </w:rPr>
            </w:pPr>
            <w:r w:rsidRPr="000F4BE6">
              <w:rPr>
                <w:sz w:val="22"/>
              </w:rPr>
              <w:t>Carparking</w:t>
            </w:r>
          </w:p>
        </w:tc>
        <w:tc>
          <w:tcPr>
            <w:tcW w:w="8078" w:type="dxa"/>
          </w:tcPr>
          <w:p w14:paraId="128050A8" w14:textId="77777777" w:rsidR="00BA1F37" w:rsidRPr="000F4BE6" w:rsidRDefault="00437731" w:rsidP="005C307A">
            <w:pPr>
              <w:pStyle w:val="BodyText"/>
              <w:rPr>
                <w:sz w:val="22"/>
              </w:rPr>
            </w:pPr>
            <w:r w:rsidRPr="000F4BE6">
              <w:rPr>
                <w:sz w:val="22"/>
              </w:rPr>
              <w:t xml:space="preserve">4 spaces (including 2 disabled accessible spaces will be provided on the </w:t>
            </w:r>
            <w:r w:rsidR="00342544">
              <w:rPr>
                <w:sz w:val="22"/>
              </w:rPr>
              <w:t>subject land</w:t>
            </w:r>
            <w:r w:rsidRPr="000F4BE6">
              <w:rPr>
                <w:sz w:val="22"/>
              </w:rPr>
              <w:t>)</w:t>
            </w:r>
          </w:p>
          <w:p w14:paraId="5FA2E7AA" w14:textId="77777777" w:rsidR="00437731" w:rsidRPr="000F4BE6" w:rsidRDefault="00437731" w:rsidP="005C307A">
            <w:pPr>
              <w:pStyle w:val="BodyText"/>
              <w:rPr>
                <w:sz w:val="22"/>
              </w:rPr>
            </w:pPr>
            <w:r w:rsidRPr="000F4BE6">
              <w:rPr>
                <w:sz w:val="22"/>
              </w:rPr>
              <w:t xml:space="preserve">A further 12 spaces will be provided within the road reserve of Bonney Street, </w:t>
            </w:r>
            <w:r w:rsidR="000F1783">
              <w:rPr>
                <w:sz w:val="22"/>
              </w:rPr>
              <w:t>as part of a</w:t>
            </w:r>
            <w:r w:rsidRPr="000F4BE6">
              <w:rPr>
                <w:sz w:val="22"/>
              </w:rPr>
              <w:t xml:space="preserve"> Voluntary Planning Agreement </w:t>
            </w:r>
            <w:r w:rsidR="000F1783">
              <w:rPr>
                <w:sz w:val="22"/>
              </w:rPr>
              <w:t>between Maari Ma Health Aboriginal Corporation and</w:t>
            </w:r>
            <w:r w:rsidRPr="000F4BE6">
              <w:rPr>
                <w:sz w:val="22"/>
              </w:rPr>
              <w:t xml:space="preserve"> Central Darling Shire Council which includes infrastructure works to facilitate access</w:t>
            </w:r>
            <w:r w:rsidR="000F1783">
              <w:rPr>
                <w:sz w:val="22"/>
              </w:rPr>
              <w:t>, drainage</w:t>
            </w:r>
            <w:r w:rsidRPr="000F4BE6">
              <w:rPr>
                <w:sz w:val="22"/>
              </w:rPr>
              <w:t xml:space="preserve"> and </w:t>
            </w:r>
            <w:r w:rsidR="00342544">
              <w:rPr>
                <w:sz w:val="22"/>
              </w:rPr>
              <w:t xml:space="preserve">visitor/staff </w:t>
            </w:r>
            <w:r w:rsidRPr="000F4BE6">
              <w:rPr>
                <w:sz w:val="22"/>
              </w:rPr>
              <w:t>parking within the road reserve at no cost to Council.</w:t>
            </w:r>
          </w:p>
        </w:tc>
      </w:tr>
    </w:tbl>
    <w:p w14:paraId="5EDC8DD8" w14:textId="77777777" w:rsidR="00BA1F37" w:rsidRDefault="0051452A" w:rsidP="005C307A">
      <w:pPr>
        <w:pStyle w:val="BodyText"/>
        <w:rPr>
          <w:sz w:val="16"/>
          <w:szCs w:val="16"/>
        </w:rPr>
      </w:pPr>
      <w:r w:rsidRPr="0051452A">
        <w:rPr>
          <w:sz w:val="16"/>
          <w:szCs w:val="16"/>
        </w:rPr>
        <w:t>Table 1</w:t>
      </w:r>
    </w:p>
    <w:p w14:paraId="4E3A8636" w14:textId="77777777" w:rsidR="002C7507" w:rsidRPr="00AA604B" w:rsidRDefault="002C7507" w:rsidP="005C307A">
      <w:pPr>
        <w:pStyle w:val="BodyText"/>
      </w:pPr>
      <w:r w:rsidRPr="00AA604B">
        <w:t>A copy of the plans is at Attachment 4.</w:t>
      </w:r>
    </w:p>
    <w:p w14:paraId="363BB14A" w14:textId="77777777" w:rsidR="002C7507" w:rsidRPr="0051452A" w:rsidRDefault="002C7507" w:rsidP="005C307A">
      <w:pPr>
        <w:pStyle w:val="BodyText"/>
        <w:rPr>
          <w:sz w:val="16"/>
          <w:szCs w:val="16"/>
        </w:rPr>
      </w:pPr>
    </w:p>
    <w:p w14:paraId="2B0D3E66" w14:textId="77777777" w:rsidR="009E4BE5" w:rsidRDefault="009E4BE5" w:rsidP="005C307A">
      <w:pPr>
        <w:pStyle w:val="BodyText"/>
      </w:pPr>
      <w:r w:rsidRPr="009E4BE5">
        <w:rPr>
          <w:noProof/>
        </w:rPr>
        <w:drawing>
          <wp:inline distT="0" distB="0" distL="0" distR="0" wp14:anchorId="22E17348" wp14:editId="3E105531">
            <wp:extent cx="5771383" cy="3471333"/>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4823" cy="3473402"/>
                    </a:xfrm>
                    <a:prstGeom prst="rect">
                      <a:avLst/>
                    </a:prstGeom>
                  </pic:spPr>
                </pic:pic>
              </a:graphicData>
            </a:graphic>
          </wp:inline>
        </w:drawing>
      </w:r>
    </w:p>
    <w:p w14:paraId="361F92B7" w14:textId="77777777" w:rsidR="005C307A" w:rsidRPr="005C307A" w:rsidRDefault="0051452A" w:rsidP="005C307A">
      <w:pPr>
        <w:pStyle w:val="BodyText"/>
        <w:rPr>
          <w:b/>
        </w:rPr>
      </w:pPr>
      <w:r>
        <w:rPr>
          <w:b/>
        </w:rPr>
        <w:t>2.2</w:t>
      </w:r>
      <w:r>
        <w:rPr>
          <w:b/>
        </w:rPr>
        <w:tab/>
      </w:r>
      <w:r w:rsidR="005C307A" w:rsidRPr="005C307A">
        <w:rPr>
          <w:b/>
        </w:rPr>
        <w:t>Project need and justification</w:t>
      </w:r>
    </w:p>
    <w:p w14:paraId="744C5124" w14:textId="77777777" w:rsidR="00BD4A52" w:rsidRPr="00BD4A52" w:rsidRDefault="00AC05D9" w:rsidP="00BD4A52">
      <w:pPr>
        <w:pStyle w:val="BodyText"/>
        <w:rPr>
          <w:bCs/>
        </w:rPr>
      </w:pPr>
      <w:r>
        <w:rPr>
          <w:bCs/>
        </w:rPr>
        <w:t>As described on its website, ‘</w:t>
      </w:r>
      <w:r w:rsidR="00BD4A52" w:rsidRPr="00AC05D9">
        <w:rPr>
          <w:bCs/>
          <w:i/>
        </w:rPr>
        <w:t>Maari Ma Health is an Aboriginal community</w:t>
      </w:r>
      <w:r>
        <w:rPr>
          <w:bCs/>
          <w:i/>
        </w:rPr>
        <w:t>-</w:t>
      </w:r>
      <w:r w:rsidR="00BD4A52" w:rsidRPr="00AC05D9">
        <w:rPr>
          <w:bCs/>
          <w:i/>
        </w:rPr>
        <w:t>controlled health organisation dedicated to improving the health outcomes for communities in the far west region of New South Wales with a special focus on Aboriginal health.</w:t>
      </w:r>
    </w:p>
    <w:p w14:paraId="2ED1CA0A" w14:textId="77777777" w:rsidR="00BD4A52" w:rsidRPr="00AC05D9" w:rsidRDefault="00BD4A52" w:rsidP="00BD4A52">
      <w:pPr>
        <w:pStyle w:val="BodyText"/>
        <w:rPr>
          <w:i/>
        </w:rPr>
      </w:pPr>
      <w:r w:rsidRPr="00AC05D9">
        <w:rPr>
          <w:i/>
        </w:rPr>
        <w:t>Maari Ma was established in November, 1995, following extensive community consultation conducted on behalf of the Murdi Paaki ATSIC Regional Council.</w:t>
      </w:r>
    </w:p>
    <w:p w14:paraId="4140B421" w14:textId="77777777" w:rsidR="00BD4A52" w:rsidRPr="00AC05D9" w:rsidRDefault="00BD4A52" w:rsidP="00BD4A52">
      <w:pPr>
        <w:pStyle w:val="BodyText"/>
        <w:rPr>
          <w:i/>
        </w:rPr>
      </w:pPr>
      <w:r w:rsidRPr="00AC05D9">
        <w:rPr>
          <w:i/>
        </w:rPr>
        <w:t>Maari Ma is lead and governed by an all Aboriginal Board of Directors, democratically elected to represent 7 communities in our region: Broken Hill, Ivanhoe, Balranald, Menindee, Wilcannia, Wentworth Shires and Tibooburra from the unincorporated area. The board is deeply committed to providing a holistic approach to Aboriginal health that includes physical, emotional, spiritual, cultural and environmental dimensions.</w:t>
      </w:r>
    </w:p>
    <w:p w14:paraId="6A4B2F4D" w14:textId="77777777" w:rsidR="00BD4A52" w:rsidRPr="00BD4A52" w:rsidRDefault="00BD4A52" w:rsidP="00BD4A52">
      <w:pPr>
        <w:pStyle w:val="BodyText"/>
      </w:pPr>
      <w:r w:rsidRPr="00AC05D9">
        <w:rPr>
          <w:i/>
        </w:rPr>
        <w:t>We deliver services to Aboriginal people and their families, and work closely with mainstream agencies to provide access to a broad range of services. Since our incorporation, Maari Ma has built strong local strategic partnerships. Maari Ma also strives to build and nurture partnerships with our communities as their participation in the planning and implementation of health and social programs is essential not only to quality health care but also to the integration of public health programs in our communities and improved community well-being</w:t>
      </w:r>
      <w:r w:rsidR="00AC05D9">
        <w:rPr>
          <w:i/>
        </w:rPr>
        <w:t>’</w:t>
      </w:r>
      <w:r w:rsidRPr="00AC05D9">
        <w:rPr>
          <w:i/>
        </w:rPr>
        <w:t>.</w:t>
      </w:r>
    </w:p>
    <w:p w14:paraId="61628A97" w14:textId="77777777" w:rsidR="005C307A" w:rsidRDefault="00B62066" w:rsidP="005C307A">
      <w:pPr>
        <w:pStyle w:val="BodyText"/>
      </w:pPr>
      <w:r>
        <w:t>Maari Ma currently operates out of a smaller</w:t>
      </w:r>
      <w:r w:rsidR="00803A25">
        <w:t>,</w:t>
      </w:r>
      <w:r>
        <w:t xml:space="preserve"> older premises at 14 Ross Street, Wilcannia.</w:t>
      </w:r>
    </w:p>
    <w:p w14:paraId="1C6BB918" w14:textId="77777777" w:rsidR="005C307A" w:rsidRPr="005C307A" w:rsidRDefault="0051452A" w:rsidP="005C307A">
      <w:pPr>
        <w:pStyle w:val="BodyText"/>
        <w:rPr>
          <w:b/>
        </w:rPr>
      </w:pPr>
      <w:r>
        <w:rPr>
          <w:b/>
        </w:rPr>
        <w:t>2.3</w:t>
      </w:r>
      <w:r>
        <w:rPr>
          <w:b/>
        </w:rPr>
        <w:tab/>
      </w:r>
      <w:r w:rsidR="005C307A" w:rsidRPr="005C307A">
        <w:rPr>
          <w:b/>
        </w:rPr>
        <w:t>Strategic context</w:t>
      </w:r>
    </w:p>
    <w:p w14:paraId="6BA89952" w14:textId="77777777" w:rsidR="009E4BE5" w:rsidRDefault="009E4BE5" w:rsidP="009E4BE5">
      <w:pPr>
        <w:pStyle w:val="BodyText"/>
      </w:pPr>
      <w:r>
        <w:t xml:space="preserve">Being adjacent to the banks of the Darling River also holds significant cultural importance. </w:t>
      </w:r>
      <w:r w:rsidRPr="00B62066">
        <w:t>Wilcannia is the traditional home of the Barkandji people, who have a cultural and spiritual link to the river. The river and its banks are likely to have greater archaeological sensitivity, reflecting these links and the history of Aboriginal occupation near the waterway.</w:t>
      </w:r>
    </w:p>
    <w:p w14:paraId="3E0EC332" w14:textId="77777777" w:rsidR="005C307A" w:rsidRDefault="009E4BE5" w:rsidP="005C307A">
      <w:pPr>
        <w:pStyle w:val="BodyText"/>
      </w:pPr>
      <w:r>
        <w:t xml:space="preserve">There is a strong demand for the improvement of services in the region, particularly for improved quality </w:t>
      </w:r>
      <w:r w:rsidR="002436FB">
        <w:t xml:space="preserve">of care </w:t>
      </w:r>
      <w:r>
        <w:t xml:space="preserve">outside of a hospital setting, noting that Wilcannia Hospital was re-developed </w:t>
      </w:r>
      <w:r w:rsidR="002436FB">
        <w:t>as a multi-purpose facility in 2002.</w:t>
      </w:r>
    </w:p>
    <w:p w14:paraId="576317ED" w14:textId="77777777" w:rsidR="009E4BE5" w:rsidRDefault="009E4BE5" w:rsidP="005C307A">
      <w:pPr>
        <w:pStyle w:val="BodyText"/>
      </w:pPr>
    </w:p>
    <w:p w14:paraId="0F99B2DF" w14:textId="77777777" w:rsidR="005C307A" w:rsidRPr="005C307A" w:rsidRDefault="005C307A" w:rsidP="003860D4">
      <w:pPr>
        <w:pStyle w:val="BodyText"/>
        <w:numPr>
          <w:ilvl w:val="6"/>
          <w:numId w:val="6"/>
        </w:numPr>
        <w:ind w:left="851" w:hanging="851"/>
        <w:rPr>
          <w:b/>
          <w:sz w:val="36"/>
          <w:szCs w:val="36"/>
        </w:rPr>
      </w:pPr>
      <w:r w:rsidRPr="005C307A">
        <w:rPr>
          <w:b/>
          <w:sz w:val="36"/>
          <w:szCs w:val="36"/>
        </w:rPr>
        <w:t>STATUTORY CONTEXT</w:t>
      </w:r>
    </w:p>
    <w:p w14:paraId="166FCB56" w14:textId="77777777" w:rsidR="00342544" w:rsidRDefault="00342544" w:rsidP="005C307A">
      <w:pPr>
        <w:pStyle w:val="BodyText"/>
        <w:rPr>
          <w:b/>
        </w:rPr>
      </w:pPr>
      <w:r>
        <w:rPr>
          <w:b/>
        </w:rPr>
        <w:t>3.1</w:t>
      </w:r>
      <w:r>
        <w:rPr>
          <w:b/>
        </w:rPr>
        <w:tab/>
        <w:t>Zoning</w:t>
      </w:r>
    </w:p>
    <w:p w14:paraId="59D8702B" w14:textId="77777777" w:rsidR="00342544" w:rsidRPr="00342544" w:rsidRDefault="00342544" w:rsidP="005C307A">
      <w:pPr>
        <w:pStyle w:val="BodyText"/>
      </w:pPr>
      <w:r w:rsidRPr="00342544">
        <w:t>The land subject of this development application is zoned Part R1</w:t>
      </w:r>
      <w:r>
        <w:t xml:space="preserve"> – General Residential and Part W1 – Natural Waterways.</w:t>
      </w:r>
    </w:p>
    <w:p w14:paraId="5F53F7DD" w14:textId="77777777" w:rsidR="005C307A" w:rsidRPr="005C307A" w:rsidRDefault="00FE0266" w:rsidP="005C307A">
      <w:pPr>
        <w:pStyle w:val="BodyText"/>
        <w:rPr>
          <w:b/>
        </w:rPr>
      </w:pPr>
      <w:r>
        <w:rPr>
          <w:b/>
        </w:rPr>
        <w:t>3.</w:t>
      </w:r>
      <w:r w:rsidR="00342544">
        <w:rPr>
          <w:b/>
        </w:rPr>
        <w:t>2</w:t>
      </w:r>
      <w:r>
        <w:rPr>
          <w:b/>
        </w:rPr>
        <w:tab/>
      </w:r>
      <w:r w:rsidR="005C307A" w:rsidRPr="005C307A">
        <w:rPr>
          <w:b/>
        </w:rPr>
        <w:t>Permissibility</w:t>
      </w:r>
    </w:p>
    <w:p w14:paraId="3358B5BF" w14:textId="77777777" w:rsidR="005C307A" w:rsidRDefault="00156FBF" w:rsidP="005C307A">
      <w:pPr>
        <w:pStyle w:val="BodyText"/>
      </w:pPr>
      <w:r>
        <w:t xml:space="preserve">The development can be defined as a </w:t>
      </w:r>
      <w:r w:rsidR="00BD4A52">
        <w:t>‘</w:t>
      </w:r>
      <w:r>
        <w:t>health services facility</w:t>
      </w:r>
      <w:r w:rsidR="00BD4A52">
        <w:t>’</w:t>
      </w:r>
      <w:r>
        <w:t xml:space="preserve">, defined </w:t>
      </w:r>
      <w:r w:rsidR="00BD4A52">
        <w:t>by Central Darling Local Environmental Plan 2012 as:</w:t>
      </w:r>
    </w:p>
    <w:p w14:paraId="6D413FC5" w14:textId="77777777" w:rsidR="00BD4A52" w:rsidRPr="00BD4A52" w:rsidRDefault="00BD4A52" w:rsidP="00BD4A52">
      <w:pPr>
        <w:pStyle w:val="BodyText"/>
      </w:pPr>
      <w:r w:rsidRPr="00BD4A52">
        <w:rPr>
          <w:b/>
          <w:bCs/>
          <w:iCs/>
        </w:rPr>
        <w:t>health services facility</w:t>
      </w:r>
      <w:r w:rsidRPr="00BD4A52">
        <w:t> means a building or place used to provide medical or other services relating to the maintenance or improvement of the health, or the restoration to health, of persons or the prevention of disease in or treatment of injury to persons, and includes any of the following—</w:t>
      </w:r>
    </w:p>
    <w:p w14:paraId="7B384B2B" w14:textId="77777777" w:rsidR="00BD4A52" w:rsidRPr="00BD4A52" w:rsidRDefault="00BD4A52" w:rsidP="00BD4A52">
      <w:pPr>
        <w:pStyle w:val="BodyText"/>
      </w:pPr>
      <w:r w:rsidRPr="00BD4A52">
        <w:t>(a)  a medical centre,</w:t>
      </w:r>
    </w:p>
    <w:p w14:paraId="39A8B253" w14:textId="77777777" w:rsidR="00BD4A52" w:rsidRPr="00BD4A52" w:rsidRDefault="00BD4A52" w:rsidP="00BD4A52">
      <w:pPr>
        <w:pStyle w:val="BodyText"/>
      </w:pPr>
      <w:r w:rsidRPr="00BD4A52">
        <w:t>(b)  community health service facilities,</w:t>
      </w:r>
    </w:p>
    <w:p w14:paraId="17CDDDD1" w14:textId="77777777" w:rsidR="00BD4A52" w:rsidRPr="00BD4A52" w:rsidRDefault="00BD4A52" w:rsidP="00BD4A52">
      <w:pPr>
        <w:pStyle w:val="BodyText"/>
      </w:pPr>
      <w:r w:rsidRPr="00BD4A52">
        <w:t>(c)  health consulting rooms,</w:t>
      </w:r>
    </w:p>
    <w:p w14:paraId="4FC34F3A" w14:textId="77777777" w:rsidR="00BD4A52" w:rsidRPr="00BD4A52" w:rsidRDefault="00BD4A52" w:rsidP="00BD4A52">
      <w:pPr>
        <w:pStyle w:val="BodyText"/>
      </w:pPr>
      <w:r w:rsidRPr="00BD4A52">
        <w:t>(d)  patient transport facilities, including helipads and ambulance facilities,</w:t>
      </w:r>
    </w:p>
    <w:p w14:paraId="12C335AC" w14:textId="77777777" w:rsidR="00BD4A52" w:rsidRPr="00BD4A52" w:rsidRDefault="00BD4A52" w:rsidP="00BD4A52">
      <w:pPr>
        <w:pStyle w:val="BodyText"/>
      </w:pPr>
      <w:r w:rsidRPr="00BD4A52">
        <w:t>(e)  hospital.</w:t>
      </w:r>
    </w:p>
    <w:p w14:paraId="65EEB38A" w14:textId="77777777" w:rsidR="00BD4A52" w:rsidRDefault="00BD4A52" w:rsidP="005C307A">
      <w:pPr>
        <w:pStyle w:val="BodyText"/>
      </w:pPr>
      <w:r>
        <w:t>There are elements of each of (a)-(d) in the proposal.</w:t>
      </w:r>
    </w:p>
    <w:p w14:paraId="116AADD8" w14:textId="77777777" w:rsidR="00BD4A52" w:rsidRDefault="005032F1" w:rsidP="005C307A">
      <w:pPr>
        <w:pStyle w:val="BodyText"/>
      </w:pPr>
      <w:r>
        <w:t>A h</w:t>
      </w:r>
      <w:r w:rsidR="00BD4A52">
        <w:t>ealth services facilit</w:t>
      </w:r>
      <w:r>
        <w:t xml:space="preserve">y is </w:t>
      </w:r>
      <w:r w:rsidR="00BD4A52">
        <w:t xml:space="preserve">permissible </w:t>
      </w:r>
      <w:r>
        <w:t>on that part of the land zoned</w:t>
      </w:r>
      <w:r w:rsidR="00BD4A52">
        <w:t xml:space="preserve"> R1 General Residential zone</w:t>
      </w:r>
      <w:r>
        <w:t>, with development consent.</w:t>
      </w:r>
    </w:p>
    <w:p w14:paraId="449C02D9" w14:textId="77777777" w:rsidR="00BD4A52" w:rsidRPr="005032F1" w:rsidRDefault="00BD4A52" w:rsidP="00BD4A52">
      <w:pPr>
        <w:pStyle w:val="BodyText"/>
        <w:rPr>
          <w:b/>
          <w:bCs/>
          <w:i/>
        </w:rPr>
      </w:pPr>
      <w:r w:rsidRPr="005032F1">
        <w:rPr>
          <w:b/>
          <w:bCs/>
          <w:i/>
        </w:rPr>
        <w:t>Zone R1   General Residential</w:t>
      </w:r>
    </w:p>
    <w:p w14:paraId="30260E55" w14:textId="77777777" w:rsidR="00BD4A52" w:rsidRPr="00BD4A52" w:rsidRDefault="00BD4A52" w:rsidP="00BD4A52">
      <w:pPr>
        <w:pStyle w:val="BodyText"/>
        <w:rPr>
          <w:i/>
        </w:rPr>
      </w:pPr>
      <w:r w:rsidRPr="00BD4A52">
        <w:rPr>
          <w:b/>
          <w:bCs/>
          <w:i/>
        </w:rPr>
        <w:t>1</w:t>
      </w:r>
      <w:r w:rsidRPr="00BD4A52">
        <w:rPr>
          <w:i/>
        </w:rPr>
        <w:t>   </w:t>
      </w:r>
      <w:r w:rsidRPr="00BD4A52">
        <w:rPr>
          <w:b/>
          <w:bCs/>
          <w:i/>
        </w:rPr>
        <w:t>Objectives of zone</w:t>
      </w:r>
    </w:p>
    <w:p w14:paraId="3F00A201" w14:textId="77777777" w:rsidR="00BD4A52" w:rsidRPr="00BD4A52" w:rsidRDefault="00BD4A52" w:rsidP="00BD4A52">
      <w:pPr>
        <w:pStyle w:val="BodyText"/>
        <w:rPr>
          <w:i/>
        </w:rPr>
      </w:pPr>
      <w:r w:rsidRPr="00BD4A52">
        <w:rPr>
          <w:i/>
        </w:rPr>
        <w:t>•  To provide for the housing needs of the community.</w:t>
      </w:r>
    </w:p>
    <w:p w14:paraId="1653D303" w14:textId="77777777" w:rsidR="00BD4A52" w:rsidRPr="00BD4A52" w:rsidRDefault="00BD4A52" w:rsidP="00BD4A52">
      <w:pPr>
        <w:pStyle w:val="BodyText"/>
        <w:rPr>
          <w:i/>
        </w:rPr>
      </w:pPr>
      <w:r w:rsidRPr="00BD4A52">
        <w:rPr>
          <w:i/>
        </w:rPr>
        <w:t>•  To provide for a variety of housing types and densities.</w:t>
      </w:r>
    </w:p>
    <w:p w14:paraId="28D2DAFB" w14:textId="77777777" w:rsidR="00BD4A52" w:rsidRPr="00BD4A52" w:rsidRDefault="00BD4A52" w:rsidP="00BD4A52">
      <w:pPr>
        <w:pStyle w:val="BodyText"/>
        <w:rPr>
          <w:i/>
        </w:rPr>
      </w:pPr>
      <w:r w:rsidRPr="00BD4A52">
        <w:rPr>
          <w:i/>
        </w:rPr>
        <w:t>•  To enable other land uses that provide facilities or services to meet the day to day needs of residents.</w:t>
      </w:r>
    </w:p>
    <w:p w14:paraId="3C278E33" w14:textId="77777777" w:rsidR="00BD4A52" w:rsidRPr="00BD4A52" w:rsidRDefault="00BD4A52" w:rsidP="00BD4A52">
      <w:pPr>
        <w:pStyle w:val="BodyText"/>
        <w:rPr>
          <w:i/>
        </w:rPr>
      </w:pPr>
      <w:r w:rsidRPr="00BD4A52">
        <w:rPr>
          <w:i/>
        </w:rPr>
        <w:t>•  To minimise land use conflict between land uses on land within the zone and land uses on land within adjoining zones.</w:t>
      </w:r>
    </w:p>
    <w:p w14:paraId="54870B26" w14:textId="77777777" w:rsidR="00BD4A52" w:rsidRPr="00BD4A52" w:rsidRDefault="00BD4A52" w:rsidP="00BD4A52">
      <w:pPr>
        <w:pStyle w:val="BodyText"/>
        <w:rPr>
          <w:i/>
        </w:rPr>
      </w:pPr>
      <w:r w:rsidRPr="00BD4A52">
        <w:rPr>
          <w:b/>
          <w:bCs/>
          <w:i/>
        </w:rPr>
        <w:t>2</w:t>
      </w:r>
      <w:r w:rsidRPr="00BD4A52">
        <w:rPr>
          <w:i/>
        </w:rPr>
        <w:t>   </w:t>
      </w:r>
      <w:r w:rsidRPr="00BD4A52">
        <w:rPr>
          <w:b/>
          <w:bCs/>
          <w:i/>
        </w:rPr>
        <w:t>Permitted without consent</w:t>
      </w:r>
    </w:p>
    <w:p w14:paraId="5BC39BBA" w14:textId="77777777" w:rsidR="00BD4A52" w:rsidRPr="00BD4A52" w:rsidRDefault="00BD4A52" w:rsidP="00BD4A52">
      <w:pPr>
        <w:pStyle w:val="BodyText"/>
        <w:rPr>
          <w:i/>
        </w:rPr>
      </w:pPr>
      <w:r w:rsidRPr="00BD4A52">
        <w:rPr>
          <w:i/>
        </w:rPr>
        <w:t>Environmental protection works; Home-based child care; Home occupations; Roads; Water reticulation systems</w:t>
      </w:r>
    </w:p>
    <w:p w14:paraId="7A3A1020" w14:textId="77777777" w:rsidR="00BD4A52" w:rsidRPr="00BD4A52" w:rsidRDefault="00BD4A52" w:rsidP="00BD4A52">
      <w:pPr>
        <w:pStyle w:val="BodyText"/>
        <w:rPr>
          <w:i/>
        </w:rPr>
      </w:pPr>
      <w:r w:rsidRPr="00BD4A52">
        <w:rPr>
          <w:b/>
          <w:bCs/>
          <w:i/>
        </w:rPr>
        <w:t>3</w:t>
      </w:r>
      <w:r w:rsidRPr="00BD4A52">
        <w:rPr>
          <w:i/>
        </w:rPr>
        <w:t>   </w:t>
      </w:r>
      <w:r w:rsidRPr="00BD4A52">
        <w:rPr>
          <w:b/>
          <w:bCs/>
          <w:i/>
        </w:rPr>
        <w:t>Permitted with consent</w:t>
      </w:r>
    </w:p>
    <w:p w14:paraId="20898880" w14:textId="77777777" w:rsidR="00BD4A52" w:rsidRPr="005032F1" w:rsidRDefault="00BD4A52" w:rsidP="00BD4A52">
      <w:pPr>
        <w:pStyle w:val="BodyText"/>
        <w:rPr>
          <w:i/>
        </w:rPr>
      </w:pPr>
      <w:r w:rsidRPr="00BD4A52">
        <w:rPr>
          <w:i/>
        </w:rPr>
        <w:t xml:space="preserve">Attached dwellings; Boarding houses; Building identification signs; Business identification signs; Car parks; Centre-based child care facilities; Commercial premises; </w:t>
      </w:r>
      <w:r w:rsidRPr="007B6351">
        <w:rPr>
          <w:i/>
        </w:rPr>
        <w:t>Community facilities</w:t>
      </w:r>
      <w:r w:rsidRPr="00BD4A52">
        <w:rPr>
          <w:i/>
        </w:rPr>
        <w:t xml:space="preserve">; Dwelling houses; Food and drink premises; Function centres; Group homes; Hostels; Kiosks; Multi dwelling housing; Neighbourhood shops; Oyster aquaculture; Places of public worship; Pond-based aquaculture; Public administration buildings; Registered clubs; Residential flat buildings; Respite day care centres; Semi-detached dwellings; Seniors housing; Shop top housing; Tank-based aquaculture; Tourist and visitor accommodation; Waste or resource transfer stations; Water recycling facilities; Water treatment facilities; </w:t>
      </w:r>
      <w:r w:rsidRPr="005032F1">
        <w:rPr>
          <w:i/>
        </w:rPr>
        <w:t>Any other development not specified in item 2 or 4</w:t>
      </w:r>
    </w:p>
    <w:p w14:paraId="57464721" w14:textId="77777777" w:rsidR="00BD4A52" w:rsidRPr="00BD4A52" w:rsidRDefault="00BD4A52" w:rsidP="00BD4A52">
      <w:pPr>
        <w:pStyle w:val="BodyText"/>
        <w:rPr>
          <w:i/>
        </w:rPr>
      </w:pPr>
      <w:r w:rsidRPr="00BD4A52">
        <w:rPr>
          <w:b/>
          <w:bCs/>
          <w:i/>
        </w:rPr>
        <w:lastRenderedPageBreak/>
        <w:t>4</w:t>
      </w:r>
      <w:r w:rsidRPr="00BD4A52">
        <w:rPr>
          <w:i/>
        </w:rPr>
        <w:t>   </w:t>
      </w:r>
      <w:r w:rsidRPr="00BD4A52">
        <w:rPr>
          <w:b/>
          <w:bCs/>
          <w:i/>
        </w:rPr>
        <w:t>Prohibited</w:t>
      </w:r>
    </w:p>
    <w:p w14:paraId="3E239268" w14:textId="77777777" w:rsidR="00BD4A52" w:rsidRDefault="00BD4A52" w:rsidP="00BD4A52">
      <w:pPr>
        <w:pStyle w:val="BodyText"/>
        <w:rPr>
          <w:i/>
        </w:rPr>
      </w:pPr>
      <w:r w:rsidRPr="00BD4A52">
        <w:rPr>
          <w:i/>
        </w:rPr>
        <w:t>Agriculture; Air transport facilities; Airstrips; Amusement centres; Animal boarding or training establishments; Biosolids treatment facilities; Boat building and repair facilities; Charter and tourism boating facilities; Correctional centres; Crematoria; Depots; Electricity generating works; Entertainment facilities; Extractive industries; Farm buildings; Farm stay accommodation; Forestry; Freight transport facilities; Heavy industrial storage establishments; Helipads; Highway service centres; Industrial retail outlets; Industrial training facilities; Industries; Marinas; Mooring pens; Moorings; Mortuaries; Open cut mining; Recreation facilities (major); Research stations; Restricted premises; Rural industries; Rural workers’ dwellings; Service stations; Sewage treatment plants; Sex services premises; Signage; Storage premises; Transport depots; Truck depots; Vehicle body repair workshops; Vehicle repair stations; Warehouse or distribution centres; Waste or resource management facilities; Wharf or boating facilities; Wholesale supplies</w:t>
      </w:r>
    </w:p>
    <w:p w14:paraId="75B47C51" w14:textId="77777777" w:rsidR="005032F1" w:rsidRPr="005032F1" w:rsidRDefault="005032F1" w:rsidP="005032F1">
      <w:pPr>
        <w:pStyle w:val="BodyText"/>
        <w:rPr>
          <w:b/>
          <w:bCs/>
          <w:i/>
        </w:rPr>
      </w:pPr>
      <w:r w:rsidRPr="005032F1">
        <w:rPr>
          <w:b/>
          <w:bCs/>
          <w:i/>
        </w:rPr>
        <w:t>Zone W1   Natural Waterways</w:t>
      </w:r>
    </w:p>
    <w:p w14:paraId="281215C8" w14:textId="77777777" w:rsidR="005032F1" w:rsidRPr="005032F1" w:rsidRDefault="005032F1" w:rsidP="005032F1">
      <w:pPr>
        <w:pStyle w:val="BodyText"/>
        <w:rPr>
          <w:i/>
        </w:rPr>
      </w:pPr>
      <w:r w:rsidRPr="005032F1">
        <w:rPr>
          <w:b/>
          <w:bCs/>
          <w:i/>
        </w:rPr>
        <w:t>1</w:t>
      </w:r>
      <w:r w:rsidRPr="005032F1">
        <w:rPr>
          <w:i/>
        </w:rPr>
        <w:t>   </w:t>
      </w:r>
      <w:r w:rsidRPr="005032F1">
        <w:rPr>
          <w:b/>
          <w:bCs/>
          <w:i/>
        </w:rPr>
        <w:t>Objectives of zone</w:t>
      </w:r>
    </w:p>
    <w:p w14:paraId="58DA51ED" w14:textId="77777777" w:rsidR="005032F1" w:rsidRPr="005032F1" w:rsidRDefault="005032F1" w:rsidP="005032F1">
      <w:pPr>
        <w:pStyle w:val="BodyText"/>
        <w:rPr>
          <w:i/>
        </w:rPr>
      </w:pPr>
      <w:r w:rsidRPr="005032F1">
        <w:rPr>
          <w:i/>
        </w:rPr>
        <w:t>•  To protect the ecological and scenic values of natural waterways.</w:t>
      </w:r>
    </w:p>
    <w:p w14:paraId="4A85DABF" w14:textId="77777777" w:rsidR="005032F1" w:rsidRPr="005032F1" w:rsidRDefault="005032F1" w:rsidP="005032F1">
      <w:pPr>
        <w:pStyle w:val="BodyText"/>
        <w:rPr>
          <w:i/>
        </w:rPr>
      </w:pPr>
      <w:r w:rsidRPr="005032F1">
        <w:rPr>
          <w:i/>
        </w:rPr>
        <w:t>•  To prevent development that would have an adverse effect on the natural values of waterways in this zone.</w:t>
      </w:r>
    </w:p>
    <w:p w14:paraId="0C25AF93" w14:textId="77777777" w:rsidR="005032F1" w:rsidRPr="005032F1" w:rsidRDefault="005032F1" w:rsidP="005032F1">
      <w:pPr>
        <w:pStyle w:val="BodyText"/>
        <w:rPr>
          <w:i/>
        </w:rPr>
      </w:pPr>
      <w:r w:rsidRPr="005032F1">
        <w:rPr>
          <w:i/>
        </w:rPr>
        <w:t>•  To provide for sustainable fishing industries and recreational fishing.</w:t>
      </w:r>
    </w:p>
    <w:p w14:paraId="1CCD5A3E" w14:textId="77777777" w:rsidR="005032F1" w:rsidRPr="005032F1" w:rsidRDefault="005032F1" w:rsidP="005032F1">
      <w:pPr>
        <w:pStyle w:val="BodyText"/>
        <w:rPr>
          <w:i/>
        </w:rPr>
      </w:pPr>
      <w:r w:rsidRPr="005032F1">
        <w:rPr>
          <w:b/>
          <w:bCs/>
          <w:i/>
        </w:rPr>
        <w:t>2</w:t>
      </w:r>
      <w:r w:rsidRPr="005032F1">
        <w:rPr>
          <w:i/>
        </w:rPr>
        <w:t>   </w:t>
      </w:r>
      <w:r w:rsidRPr="005032F1">
        <w:rPr>
          <w:b/>
          <w:bCs/>
          <w:i/>
        </w:rPr>
        <w:t>Permitted without consent</w:t>
      </w:r>
    </w:p>
    <w:p w14:paraId="0D0BCD13" w14:textId="77777777" w:rsidR="005032F1" w:rsidRPr="005032F1" w:rsidRDefault="005032F1" w:rsidP="005032F1">
      <w:pPr>
        <w:pStyle w:val="BodyText"/>
        <w:rPr>
          <w:i/>
        </w:rPr>
      </w:pPr>
      <w:r w:rsidRPr="005032F1">
        <w:rPr>
          <w:i/>
        </w:rPr>
        <w:t>Nil</w:t>
      </w:r>
    </w:p>
    <w:p w14:paraId="18C70F7F" w14:textId="77777777" w:rsidR="005032F1" w:rsidRPr="005032F1" w:rsidRDefault="005032F1" w:rsidP="005032F1">
      <w:pPr>
        <w:pStyle w:val="BodyText"/>
        <w:rPr>
          <w:i/>
        </w:rPr>
      </w:pPr>
      <w:r w:rsidRPr="005032F1">
        <w:rPr>
          <w:b/>
          <w:bCs/>
          <w:i/>
        </w:rPr>
        <w:t>3</w:t>
      </w:r>
      <w:r w:rsidRPr="005032F1">
        <w:rPr>
          <w:i/>
        </w:rPr>
        <w:t>   </w:t>
      </w:r>
      <w:r w:rsidRPr="005032F1">
        <w:rPr>
          <w:b/>
          <w:bCs/>
          <w:i/>
        </w:rPr>
        <w:t>Permitted with consent</w:t>
      </w:r>
    </w:p>
    <w:p w14:paraId="27AA3A74" w14:textId="77777777" w:rsidR="005032F1" w:rsidRPr="005032F1" w:rsidRDefault="005032F1" w:rsidP="005032F1">
      <w:pPr>
        <w:pStyle w:val="BodyText"/>
        <w:rPr>
          <w:i/>
        </w:rPr>
      </w:pPr>
      <w:r w:rsidRPr="005032F1">
        <w:rPr>
          <w:i/>
        </w:rPr>
        <w:t>Airstrips; Aquaculture; Boat launching ramps; Boat sheds; Building identification signs; Business identification signs; Community facilities; Emergency services facilities; Environmental facilities; Environmental protection works; Flood mitigation works; Heliports; Information and education facilities; Jetties; Mooring pens; Moorings; Recreation areas; Research stations; Roads; Water recreation structures; Water recycling facilities; Water supply systems; Wharf or boating facilities</w:t>
      </w:r>
    </w:p>
    <w:p w14:paraId="48913A46" w14:textId="77777777" w:rsidR="005032F1" w:rsidRPr="005032F1" w:rsidRDefault="005032F1" w:rsidP="005032F1">
      <w:pPr>
        <w:pStyle w:val="BodyText"/>
        <w:rPr>
          <w:i/>
        </w:rPr>
      </w:pPr>
      <w:r w:rsidRPr="005032F1">
        <w:rPr>
          <w:b/>
          <w:bCs/>
          <w:i/>
        </w:rPr>
        <w:t>4</w:t>
      </w:r>
      <w:r w:rsidRPr="005032F1">
        <w:rPr>
          <w:i/>
        </w:rPr>
        <w:t>   </w:t>
      </w:r>
      <w:r w:rsidRPr="005032F1">
        <w:rPr>
          <w:b/>
          <w:bCs/>
          <w:i/>
        </w:rPr>
        <w:t>Prohibited</w:t>
      </w:r>
    </w:p>
    <w:p w14:paraId="067569DF" w14:textId="77777777" w:rsidR="005032F1" w:rsidRPr="005032F1" w:rsidRDefault="005032F1" w:rsidP="005032F1">
      <w:pPr>
        <w:pStyle w:val="BodyText"/>
        <w:rPr>
          <w:i/>
        </w:rPr>
      </w:pPr>
      <w:r w:rsidRPr="005032F1">
        <w:rPr>
          <w:i/>
        </w:rPr>
        <w:t>Business premises; Hotel or motel accommodation; Industries; Multi dwelling housing; Recreation facilities (major); Residential flat buildings; Restricted premises; Retail premises; Seniors housing; Service stations; Warehouse or distribution centres; Any other development not specified in item 2 or 3</w:t>
      </w:r>
    </w:p>
    <w:p w14:paraId="616B4CB4" w14:textId="77777777" w:rsidR="007E3EF9" w:rsidRPr="005032F1" w:rsidRDefault="005032F1" w:rsidP="005C307A">
      <w:pPr>
        <w:pStyle w:val="BodyText"/>
      </w:pPr>
      <w:r w:rsidRPr="005032F1">
        <w:t>On that part of the land zoned W1 Natural Waterways, no buildings are proposed. However, t</w:t>
      </w:r>
      <w:r w:rsidR="002436FB" w:rsidRPr="005032F1">
        <w:t>he depicted</w:t>
      </w:r>
      <w:r w:rsidR="00BD4A52" w:rsidRPr="005032F1">
        <w:t xml:space="preserve"> pathway </w:t>
      </w:r>
      <w:r w:rsidR="007E3EF9" w:rsidRPr="005032F1">
        <w:t xml:space="preserve">at the southern part of the site, </w:t>
      </w:r>
      <w:r w:rsidR="002436FB" w:rsidRPr="005032F1">
        <w:t>from the proposed community gathering/lookout area</w:t>
      </w:r>
      <w:r w:rsidR="007E3EF9" w:rsidRPr="005032F1">
        <w:t>,</w:t>
      </w:r>
      <w:r w:rsidR="002436FB" w:rsidRPr="005032F1">
        <w:t xml:space="preserve"> enters the</w:t>
      </w:r>
      <w:r w:rsidR="00BD4A52" w:rsidRPr="005032F1">
        <w:t xml:space="preserve"> W1 </w:t>
      </w:r>
      <w:r w:rsidR="002436FB" w:rsidRPr="005032F1">
        <w:t xml:space="preserve">zoned </w:t>
      </w:r>
      <w:r w:rsidR="00BD4A52" w:rsidRPr="005032F1">
        <w:t xml:space="preserve">land </w:t>
      </w:r>
      <w:r w:rsidR="002436FB" w:rsidRPr="005032F1">
        <w:t xml:space="preserve">on the slopes/bank of the Darling River. Works beyond the boundary of </w:t>
      </w:r>
      <w:r w:rsidR="007E3EF9" w:rsidRPr="005032F1">
        <w:t xml:space="preserve">that part of </w:t>
      </w:r>
      <w:r w:rsidR="002436FB" w:rsidRPr="005032F1">
        <w:t xml:space="preserve">the site </w:t>
      </w:r>
      <w:r w:rsidR="007E3EF9" w:rsidRPr="005032F1">
        <w:t xml:space="preserve">(Lot 111 in DP 1201028) </w:t>
      </w:r>
      <w:r w:rsidR="002436FB" w:rsidRPr="005032F1">
        <w:t xml:space="preserve">in this location enter Crown </w:t>
      </w:r>
      <w:r w:rsidR="0051452A" w:rsidRPr="005032F1">
        <w:t>Land</w:t>
      </w:r>
      <w:r w:rsidR="002436FB" w:rsidRPr="005032F1">
        <w:t xml:space="preserve">. The applicant will need to contact the </w:t>
      </w:r>
      <w:r w:rsidR="007E3EF9" w:rsidRPr="005032F1">
        <w:t xml:space="preserve">NSW Department of Planning, Industry &amp; Environment – Crown Lands (Western Lands Advisory Committee) before any works occur in that location. </w:t>
      </w:r>
      <w:r>
        <w:t xml:space="preserve">This requirement is included as a condition in the draft consent. </w:t>
      </w:r>
      <w:r w:rsidR="007E3EF9" w:rsidRPr="005032F1">
        <w:t xml:space="preserve">The legalities of non-tidal water as a boundary are complex and it is noted that the Deposited Plan </w:t>
      </w:r>
      <w:r w:rsidR="00DF54A9" w:rsidRPr="005032F1">
        <w:t xml:space="preserve">(DP1201028) </w:t>
      </w:r>
      <w:r w:rsidR="007E3EF9" w:rsidRPr="005032F1">
        <w:t>has not been investigated by t</w:t>
      </w:r>
      <w:r w:rsidR="00DF54A9" w:rsidRPr="005032F1">
        <w:t>he Registrar General.</w:t>
      </w:r>
    </w:p>
    <w:p w14:paraId="6C6A742C" w14:textId="77777777" w:rsidR="00FE0266" w:rsidRPr="00FE0266" w:rsidRDefault="00FE0266" w:rsidP="005C307A">
      <w:pPr>
        <w:pStyle w:val="BodyText"/>
        <w:rPr>
          <w:b/>
        </w:rPr>
      </w:pPr>
      <w:r w:rsidRPr="00FE0266">
        <w:rPr>
          <w:b/>
        </w:rPr>
        <w:t>3.</w:t>
      </w:r>
      <w:r w:rsidR="00342544">
        <w:rPr>
          <w:b/>
        </w:rPr>
        <w:t>3</w:t>
      </w:r>
      <w:r w:rsidRPr="00FE0266">
        <w:rPr>
          <w:b/>
        </w:rPr>
        <w:tab/>
        <w:t>Integrated Development</w:t>
      </w:r>
    </w:p>
    <w:p w14:paraId="4AF7B392" w14:textId="77777777" w:rsidR="00FE0266" w:rsidRPr="00AA604B" w:rsidRDefault="005032F1" w:rsidP="00FE0266">
      <w:pPr>
        <w:pStyle w:val="BodyText"/>
        <w:rPr>
          <w:bCs/>
        </w:rPr>
      </w:pPr>
      <w:r>
        <w:rPr>
          <w:bCs/>
        </w:rPr>
        <w:t xml:space="preserve">The subject land, specifically </w:t>
      </w:r>
      <w:r w:rsidR="00E06380">
        <w:rPr>
          <w:bCs/>
        </w:rPr>
        <w:t>Lot 111 in DP 1201028 and Lot 4 in DP 1201089, has a frontage of approximately 89m to the Darling River. On this basis, t</w:t>
      </w:r>
      <w:r w:rsidR="00FE0266" w:rsidRPr="00AA604B">
        <w:rPr>
          <w:bCs/>
        </w:rPr>
        <w:t xml:space="preserve">he proposal was referred to the NSW Natural Recourses Access Regulator (NRAR) as integrated development as the development is </w:t>
      </w:r>
      <w:r w:rsidR="00FE0266" w:rsidRPr="00AA604B">
        <w:rPr>
          <w:bCs/>
        </w:rPr>
        <w:lastRenderedPageBreak/>
        <w:t>classified as 'Integrated Development' under section 4.46 of the Environmental Planning and Assessment Act 1979, as concurrent approval is required from NRAR under the Water Management Act 2000.</w:t>
      </w:r>
      <w:bookmarkStart w:id="2" w:name="_Hlk71101647"/>
    </w:p>
    <w:bookmarkEnd w:id="2"/>
    <w:p w14:paraId="1BB0BDFC" w14:textId="77777777" w:rsidR="00831C85" w:rsidRDefault="00831C85" w:rsidP="00FE0266">
      <w:pPr>
        <w:pStyle w:val="BodyText"/>
        <w:rPr>
          <w:bCs/>
        </w:rPr>
      </w:pPr>
      <w:r w:rsidRPr="00AA604B">
        <w:rPr>
          <w:bCs/>
        </w:rPr>
        <w:t xml:space="preserve">The applicant must obtain a controlled activity (works) on waterfront land, the consent holder must obtain a Controlled Activity Approval under the Water Management Act 2000 from NRAR. Waterfront land for the purposes of this development application is land and material in or within 40m of the top of the bank or shore of the Darling River. </w:t>
      </w:r>
    </w:p>
    <w:p w14:paraId="66752D22" w14:textId="77777777" w:rsidR="00E06380" w:rsidRPr="00E06380" w:rsidRDefault="00E06380" w:rsidP="00E06380">
      <w:pPr>
        <w:pStyle w:val="BodyText"/>
        <w:rPr>
          <w:bCs/>
        </w:rPr>
      </w:pPr>
      <w:r w:rsidRPr="00E06380">
        <w:rPr>
          <w:bCs/>
        </w:rPr>
        <w:t>At the time or preparing this report</w:t>
      </w:r>
      <w:r>
        <w:rPr>
          <w:bCs/>
        </w:rPr>
        <w:t>,</w:t>
      </w:r>
      <w:r w:rsidRPr="00E06380">
        <w:rPr>
          <w:bCs/>
        </w:rPr>
        <w:t xml:space="preserve"> a response has not yet been received. We will include a condition in the draft consent requiring the development to comply with any General Terms of Approval provided by NRAR.</w:t>
      </w:r>
    </w:p>
    <w:p w14:paraId="38516138" w14:textId="77777777" w:rsidR="005C307A" w:rsidRPr="00512AF3" w:rsidRDefault="00FE0266" w:rsidP="005C307A">
      <w:pPr>
        <w:pStyle w:val="BodyText"/>
        <w:rPr>
          <w:b/>
        </w:rPr>
      </w:pPr>
      <w:r>
        <w:rPr>
          <w:b/>
        </w:rPr>
        <w:t>3.</w:t>
      </w:r>
      <w:r w:rsidR="00342544">
        <w:rPr>
          <w:b/>
        </w:rPr>
        <w:t>4</w:t>
      </w:r>
      <w:r>
        <w:rPr>
          <w:b/>
        </w:rPr>
        <w:tab/>
      </w:r>
      <w:r w:rsidR="00512AF3" w:rsidRPr="00512AF3">
        <w:rPr>
          <w:b/>
        </w:rPr>
        <w:t>Consideration of Environmental Planning Instruments and DCPs</w:t>
      </w:r>
    </w:p>
    <w:p w14:paraId="250B8274" w14:textId="77777777" w:rsidR="00512AF3" w:rsidRDefault="00E43B08" w:rsidP="005C307A">
      <w:pPr>
        <w:pStyle w:val="BodyText"/>
      </w:pPr>
      <w:r>
        <w:t xml:space="preserve">Under </w:t>
      </w:r>
      <w:r w:rsidR="00E06380">
        <w:t>s</w:t>
      </w:r>
      <w:r>
        <w:t xml:space="preserve">ection 4.15 of the Environmental Planning &amp; Assessment Act 1979, the consent authority is required to take into consideration any environmental planning instrument, planning agreement, the </w:t>
      </w:r>
      <w:r w:rsidR="0051452A">
        <w:t>R</w:t>
      </w:r>
      <w:r>
        <w:t>egulation and development control plan that is of relevance to the development the subject of the development application. Therefore, this assessment report includes an assessment (including impacts, suitability of the site and the public interest) against the provisions of the following:</w:t>
      </w:r>
    </w:p>
    <w:p w14:paraId="45985F34" w14:textId="77777777" w:rsidR="00E43B08" w:rsidRDefault="00DF54A9" w:rsidP="003860D4">
      <w:pPr>
        <w:pStyle w:val="BodyText"/>
        <w:numPr>
          <w:ilvl w:val="0"/>
          <w:numId w:val="13"/>
        </w:numPr>
      </w:pPr>
      <w:r w:rsidRPr="00DF54A9">
        <w:t>State Environmental Planning Policy (Planning Systems) 2021</w:t>
      </w:r>
    </w:p>
    <w:p w14:paraId="0189172D" w14:textId="77777777" w:rsidR="00DF54A9" w:rsidRPr="00DF54A9" w:rsidRDefault="00DF54A9" w:rsidP="003860D4">
      <w:pPr>
        <w:pStyle w:val="BodyText"/>
        <w:numPr>
          <w:ilvl w:val="0"/>
          <w:numId w:val="13"/>
        </w:numPr>
      </w:pPr>
      <w:r w:rsidRPr="00DF54A9">
        <w:t>Sta</w:t>
      </w:r>
      <w:r w:rsidR="00E43B08" w:rsidRPr="00E43B08">
        <w:t>t</w:t>
      </w:r>
      <w:r w:rsidRPr="00DF54A9">
        <w:t>e Environmental Planning Policy (</w:t>
      </w:r>
      <w:r w:rsidRPr="00E43B08">
        <w:t>Resilience and Hazards</w:t>
      </w:r>
      <w:r w:rsidRPr="00DF54A9">
        <w:t>) 2021</w:t>
      </w:r>
    </w:p>
    <w:p w14:paraId="034ABF31" w14:textId="77777777" w:rsidR="00FC31C2" w:rsidRPr="00E43B08" w:rsidRDefault="00BD4A52" w:rsidP="003860D4">
      <w:pPr>
        <w:pStyle w:val="BodyText"/>
        <w:numPr>
          <w:ilvl w:val="0"/>
          <w:numId w:val="13"/>
        </w:numPr>
      </w:pPr>
      <w:r w:rsidRPr="00E43B08">
        <w:t>Central Darling Shire Local Environmental Plan 2012</w:t>
      </w:r>
    </w:p>
    <w:p w14:paraId="659563DC" w14:textId="77777777" w:rsidR="00BD4A52" w:rsidRDefault="00066F1C" w:rsidP="005C307A">
      <w:pPr>
        <w:pStyle w:val="BodyText"/>
      </w:pPr>
      <w:r>
        <w:t>We have undertaken a detailed assessment of these environmental planning instruments</w:t>
      </w:r>
      <w:r w:rsidR="003506E0">
        <w:t xml:space="preserve"> in Part 5 of this report and we are satisfied that the proposal is consistent with their requirements and do not compromise their aims &amp; objectives.</w:t>
      </w:r>
    </w:p>
    <w:p w14:paraId="2F24E8F1" w14:textId="77777777" w:rsidR="00792138" w:rsidRDefault="00792138" w:rsidP="005C307A">
      <w:pPr>
        <w:pStyle w:val="BodyText"/>
      </w:pPr>
      <w:r>
        <w:t>Central Darling Shire Council has no Development Control Plans</w:t>
      </w:r>
      <w:r w:rsidR="00456E6F">
        <w:t xml:space="preserve"> over this land</w:t>
      </w:r>
      <w:r>
        <w:t>.</w:t>
      </w:r>
    </w:p>
    <w:p w14:paraId="36093400" w14:textId="77777777" w:rsidR="00BD4A52" w:rsidRPr="003506E0" w:rsidRDefault="00831C85" w:rsidP="005C307A">
      <w:pPr>
        <w:pStyle w:val="BodyText"/>
        <w:rPr>
          <w:b/>
        </w:rPr>
      </w:pPr>
      <w:r>
        <w:rPr>
          <w:b/>
        </w:rPr>
        <w:t>3.</w:t>
      </w:r>
      <w:r w:rsidR="00342544">
        <w:rPr>
          <w:b/>
        </w:rPr>
        <w:t>5</w:t>
      </w:r>
      <w:r>
        <w:rPr>
          <w:b/>
        </w:rPr>
        <w:tab/>
      </w:r>
      <w:r w:rsidR="003506E0" w:rsidRPr="003506E0">
        <w:rPr>
          <w:b/>
        </w:rPr>
        <w:t>The objects of the Environmental Planning &amp; Assessment Act 1979</w:t>
      </w:r>
    </w:p>
    <w:p w14:paraId="1A1CC4A9" w14:textId="77777777" w:rsidR="003506E0" w:rsidRDefault="003506E0" w:rsidP="003506E0">
      <w:pPr>
        <w:pStyle w:val="BodyText"/>
      </w:pPr>
      <w:r w:rsidRPr="003506E0">
        <w:t xml:space="preserve">The objects of </w:t>
      </w:r>
      <w:r>
        <w:t>the</w:t>
      </w:r>
      <w:r w:rsidRPr="003506E0">
        <w:t xml:space="preserve"> Act </w:t>
      </w:r>
      <w:r>
        <w:t>and our consideration against those objects is demonstrated in the following table:</w:t>
      </w:r>
    </w:p>
    <w:tbl>
      <w:tblPr>
        <w:tblStyle w:val="BCCTable"/>
        <w:tblW w:w="0" w:type="auto"/>
        <w:tblLook w:val="04A0" w:firstRow="1" w:lastRow="0" w:firstColumn="1" w:lastColumn="0" w:noHBand="0" w:noVBand="1"/>
      </w:tblPr>
      <w:tblGrid>
        <w:gridCol w:w="3402"/>
        <w:gridCol w:w="6236"/>
      </w:tblGrid>
      <w:tr w:rsidR="003506E0" w14:paraId="05626B41" w14:textId="77777777" w:rsidTr="003506E0">
        <w:trPr>
          <w:cnfStyle w:val="100000000000" w:firstRow="1" w:lastRow="0" w:firstColumn="0" w:lastColumn="0" w:oddVBand="0" w:evenVBand="0" w:oddHBand="0" w:evenHBand="0" w:firstRowFirstColumn="0" w:firstRowLastColumn="0" w:lastRowFirstColumn="0" w:lastRowLastColumn="0"/>
        </w:trPr>
        <w:tc>
          <w:tcPr>
            <w:tcW w:w="3402" w:type="dxa"/>
          </w:tcPr>
          <w:p w14:paraId="5CB14702" w14:textId="77777777" w:rsidR="003506E0" w:rsidRPr="0051452A" w:rsidRDefault="003506E0" w:rsidP="003506E0">
            <w:pPr>
              <w:pStyle w:val="BodyText"/>
              <w:rPr>
                <w:sz w:val="22"/>
              </w:rPr>
            </w:pPr>
            <w:r w:rsidRPr="0051452A">
              <w:rPr>
                <w:sz w:val="22"/>
              </w:rPr>
              <w:t>Object</w:t>
            </w:r>
          </w:p>
        </w:tc>
        <w:tc>
          <w:tcPr>
            <w:tcW w:w="6236" w:type="dxa"/>
          </w:tcPr>
          <w:p w14:paraId="17FDF9BC" w14:textId="77777777" w:rsidR="003506E0" w:rsidRPr="0051452A" w:rsidRDefault="003506E0" w:rsidP="003506E0">
            <w:pPr>
              <w:pStyle w:val="BodyText"/>
              <w:rPr>
                <w:sz w:val="22"/>
              </w:rPr>
            </w:pPr>
            <w:r w:rsidRPr="0051452A">
              <w:rPr>
                <w:sz w:val="22"/>
              </w:rPr>
              <w:t>Consideration</w:t>
            </w:r>
          </w:p>
        </w:tc>
      </w:tr>
      <w:tr w:rsidR="003506E0" w14:paraId="47F3904C" w14:textId="77777777" w:rsidTr="003506E0">
        <w:tc>
          <w:tcPr>
            <w:tcW w:w="3402" w:type="dxa"/>
          </w:tcPr>
          <w:p w14:paraId="2BB95ACE" w14:textId="77777777" w:rsidR="003506E0" w:rsidRPr="0051452A" w:rsidRDefault="003506E0" w:rsidP="003506E0">
            <w:pPr>
              <w:pStyle w:val="BodyText"/>
              <w:rPr>
                <w:sz w:val="22"/>
              </w:rPr>
            </w:pPr>
            <w:r w:rsidRPr="0051452A">
              <w:rPr>
                <w:sz w:val="22"/>
              </w:rPr>
              <w:t>(a)  to promote the social and economic welfare of the community and a better environment by the proper management, development and conservation of the State’s natural and other resources</w:t>
            </w:r>
          </w:p>
        </w:tc>
        <w:tc>
          <w:tcPr>
            <w:tcW w:w="6236" w:type="dxa"/>
          </w:tcPr>
          <w:p w14:paraId="00DD618A" w14:textId="77777777" w:rsidR="003506E0" w:rsidRPr="0051452A" w:rsidRDefault="00884BFD" w:rsidP="003506E0">
            <w:pPr>
              <w:pStyle w:val="BodyText"/>
              <w:rPr>
                <w:sz w:val="22"/>
              </w:rPr>
            </w:pPr>
            <w:r w:rsidRPr="0051452A">
              <w:rPr>
                <w:sz w:val="22"/>
              </w:rPr>
              <w:t xml:space="preserve">The proposal </w:t>
            </w:r>
            <w:r w:rsidR="00456E6F">
              <w:rPr>
                <w:sz w:val="22"/>
              </w:rPr>
              <w:t>will</w:t>
            </w:r>
            <w:r w:rsidRPr="0051452A">
              <w:rPr>
                <w:sz w:val="22"/>
              </w:rPr>
              <w:t xml:space="preserve"> redevelop land adjacent to the existing hospital and </w:t>
            </w:r>
            <w:r w:rsidR="00456E6F">
              <w:rPr>
                <w:sz w:val="22"/>
              </w:rPr>
              <w:t xml:space="preserve">will </w:t>
            </w:r>
            <w:r w:rsidRPr="0051452A">
              <w:rPr>
                <w:sz w:val="22"/>
              </w:rPr>
              <w:t>provide consolidated health services outside of the hospital setting in a more culturally sensitive and comforting setting.</w:t>
            </w:r>
          </w:p>
        </w:tc>
      </w:tr>
      <w:tr w:rsidR="003506E0" w14:paraId="28352A22" w14:textId="77777777" w:rsidTr="003506E0">
        <w:tc>
          <w:tcPr>
            <w:tcW w:w="3402" w:type="dxa"/>
          </w:tcPr>
          <w:p w14:paraId="65F3910B" w14:textId="77777777" w:rsidR="003506E0" w:rsidRPr="0051452A" w:rsidRDefault="003506E0" w:rsidP="003506E0">
            <w:pPr>
              <w:pStyle w:val="BodyText"/>
              <w:rPr>
                <w:sz w:val="22"/>
              </w:rPr>
            </w:pPr>
            <w:r w:rsidRPr="0051452A">
              <w:rPr>
                <w:sz w:val="22"/>
              </w:rPr>
              <w:t>(b)  to facilitate ecologically sustainable development by integrating relevant economic, environmental and social considerations in decision-making about environmental planning and assessment</w:t>
            </w:r>
          </w:p>
        </w:tc>
        <w:tc>
          <w:tcPr>
            <w:tcW w:w="6236" w:type="dxa"/>
          </w:tcPr>
          <w:p w14:paraId="4C104BB5" w14:textId="77777777" w:rsidR="003506E0" w:rsidRPr="0051452A" w:rsidRDefault="0058391A" w:rsidP="003506E0">
            <w:pPr>
              <w:pStyle w:val="BodyText"/>
              <w:rPr>
                <w:sz w:val="22"/>
              </w:rPr>
            </w:pPr>
            <w:r w:rsidRPr="0051452A">
              <w:rPr>
                <w:sz w:val="22"/>
              </w:rPr>
              <w:t>There is no aspect of the development that appears to compromise the principles of ecologically sustainable development.</w:t>
            </w:r>
          </w:p>
        </w:tc>
      </w:tr>
      <w:tr w:rsidR="003506E0" w14:paraId="7C2D9F6E" w14:textId="77777777" w:rsidTr="003506E0">
        <w:tc>
          <w:tcPr>
            <w:tcW w:w="3402" w:type="dxa"/>
          </w:tcPr>
          <w:p w14:paraId="1A9E29DA" w14:textId="77777777" w:rsidR="003506E0" w:rsidRPr="0051452A" w:rsidRDefault="003506E0" w:rsidP="003506E0">
            <w:pPr>
              <w:pStyle w:val="BodyText"/>
              <w:rPr>
                <w:sz w:val="22"/>
              </w:rPr>
            </w:pPr>
            <w:r w:rsidRPr="0051452A">
              <w:rPr>
                <w:sz w:val="22"/>
              </w:rPr>
              <w:lastRenderedPageBreak/>
              <w:t>(c)  to promote the orderly and economic use and development of land</w:t>
            </w:r>
          </w:p>
        </w:tc>
        <w:tc>
          <w:tcPr>
            <w:tcW w:w="6236" w:type="dxa"/>
          </w:tcPr>
          <w:p w14:paraId="40B85F52" w14:textId="77777777" w:rsidR="003506E0" w:rsidRPr="0051452A" w:rsidRDefault="0058391A" w:rsidP="003506E0">
            <w:pPr>
              <w:pStyle w:val="BodyText"/>
              <w:rPr>
                <w:sz w:val="22"/>
              </w:rPr>
            </w:pPr>
            <w:r w:rsidRPr="0051452A">
              <w:rPr>
                <w:sz w:val="22"/>
              </w:rPr>
              <w:t xml:space="preserve">The development </w:t>
            </w:r>
            <w:r w:rsidR="00456E6F">
              <w:rPr>
                <w:sz w:val="22"/>
              </w:rPr>
              <w:t>will</w:t>
            </w:r>
            <w:r w:rsidRPr="0051452A">
              <w:rPr>
                <w:sz w:val="22"/>
              </w:rPr>
              <w:t xml:space="preserve"> meet the objectives of the zone by enabling a land use that provides facilities and services to meet the day to day needs of residents and at the same time, minimise land use conflict within the zone and land uses on land within adjoining zones.</w:t>
            </w:r>
          </w:p>
        </w:tc>
      </w:tr>
      <w:tr w:rsidR="003506E0" w14:paraId="1359F119" w14:textId="77777777" w:rsidTr="003506E0">
        <w:tc>
          <w:tcPr>
            <w:tcW w:w="3402" w:type="dxa"/>
          </w:tcPr>
          <w:p w14:paraId="7D4A4C92" w14:textId="77777777" w:rsidR="003506E0" w:rsidRPr="0051452A" w:rsidRDefault="003506E0" w:rsidP="003506E0">
            <w:pPr>
              <w:pStyle w:val="BodyText"/>
              <w:rPr>
                <w:sz w:val="22"/>
              </w:rPr>
            </w:pPr>
            <w:r w:rsidRPr="0051452A">
              <w:rPr>
                <w:sz w:val="22"/>
              </w:rPr>
              <w:t>(d)  to promote the delivery and maintenance of affordable housing</w:t>
            </w:r>
          </w:p>
        </w:tc>
        <w:tc>
          <w:tcPr>
            <w:tcW w:w="6236" w:type="dxa"/>
          </w:tcPr>
          <w:p w14:paraId="266888EF" w14:textId="77777777" w:rsidR="003506E0" w:rsidRPr="0051452A" w:rsidRDefault="003506E0" w:rsidP="003506E0">
            <w:pPr>
              <w:pStyle w:val="BodyText"/>
              <w:rPr>
                <w:sz w:val="22"/>
              </w:rPr>
            </w:pPr>
            <w:r w:rsidRPr="0051452A">
              <w:rPr>
                <w:sz w:val="22"/>
              </w:rPr>
              <w:t>The provision of housing is not relevant to this development application</w:t>
            </w:r>
          </w:p>
        </w:tc>
      </w:tr>
      <w:tr w:rsidR="003506E0" w14:paraId="2A160E28" w14:textId="77777777" w:rsidTr="003506E0">
        <w:tc>
          <w:tcPr>
            <w:tcW w:w="3402" w:type="dxa"/>
          </w:tcPr>
          <w:p w14:paraId="7C830F5D" w14:textId="77777777" w:rsidR="003506E0" w:rsidRPr="0051452A" w:rsidRDefault="003506E0" w:rsidP="003506E0">
            <w:pPr>
              <w:pStyle w:val="BodyText"/>
              <w:rPr>
                <w:sz w:val="22"/>
              </w:rPr>
            </w:pPr>
            <w:r w:rsidRPr="0051452A">
              <w:rPr>
                <w:sz w:val="22"/>
              </w:rPr>
              <w:t>(e)  to protect the environment, including the conservation of threatened and other species of native animals and plants, ecological communities and their habitats</w:t>
            </w:r>
          </w:p>
        </w:tc>
        <w:tc>
          <w:tcPr>
            <w:tcW w:w="6236" w:type="dxa"/>
          </w:tcPr>
          <w:p w14:paraId="4AF16755" w14:textId="77777777" w:rsidR="003506E0" w:rsidRPr="0051452A" w:rsidRDefault="0058391A" w:rsidP="003506E0">
            <w:pPr>
              <w:pStyle w:val="BodyText"/>
              <w:rPr>
                <w:sz w:val="22"/>
              </w:rPr>
            </w:pPr>
            <w:r w:rsidRPr="0051452A">
              <w:rPr>
                <w:sz w:val="22"/>
              </w:rPr>
              <w:t>The proposal will not result in the loss of any threatened or vulnerable species, populations, communities or significant habitats.</w:t>
            </w:r>
          </w:p>
        </w:tc>
      </w:tr>
      <w:tr w:rsidR="003506E0" w14:paraId="081705DB" w14:textId="77777777" w:rsidTr="003506E0">
        <w:tc>
          <w:tcPr>
            <w:tcW w:w="3402" w:type="dxa"/>
          </w:tcPr>
          <w:p w14:paraId="2B29EC0D" w14:textId="77777777" w:rsidR="003506E0" w:rsidRPr="0051452A" w:rsidRDefault="003506E0" w:rsidP="003506E0">
            <w:pPr>
              <w:pStyle w:val="BodyText"/>
              <w:rPr>
                <w:sz w:val="22"/>
              </w:rPr>
            </w:pPr>
            <w:r w:rsidRPr="0051452A">
              <w:rPr>
                <w:sz w:val="22"/>
              </w:rPr>
              <w:t>(f)  to promote the sustainable management of built and cultural heritage (including Aboriginal cultural heritage)</w:t>
            </w:r>
          </w:p>
        </w:tc>
        <w:tc>
          <w:tcPr>
            <w:tcW w:w="6236" w:type="dxa"/>
          </w:tcPr>
          <w:p w14:paraId="02516832" w14:textId="77777777" w:rsidR="003506E0" w:rsidRPr="0051452A" w:rsidRDefault="003506E0" w:rsidP="003506E0">
            <w:pPr>
              <w:pStyle w:val="BodyText"/>
              <w:rPr>
                <w:sz w:val="22"/>
              </w:rPr>
            </w:pPr>
            <w:r w:rsidRPr="0051452A">
              <w:rPr>
                <w:sz w:val="22"/>
              </w:rPr>
              <w:t>The proposed development is not anticipated to result in any impacts upon built and cultural heritage, including Aboriginal heritage. However, it is recommended that a condition of consent be included requiring works to cease in the event of an unexpected Aboriginal heritage find. Of significant relevance is that the proponent for this development</w:t>
            </w:r>
            <w:r w:rsidR="00884BFD" w:rsidRPr="0051452A">
              <w:rPr>
                <w:sz w:val="22"/>
              </w:rPr>
              <w:t>,</w:t>
            </w:r>
            <w:r w:rsidRPr="0051452A">
              <w:rPr>
                <w:sz w:val="22"/>
              </w:rPr>
              <w:t xml:space="preserve"> </w:t>
            </w:r>
            <w:r w:rsidRPr="0051452A">
              <w:rPr>
                <w:rFonts w:ascii="Arial" w:hAnsi="Arial" w:cs="Arial"/>
                <w:bCs/>
                <w:color w:val="333333"/>
                <w:sz w:val="22"/>
                <w:shd w:val="clear" w:color="auto" w:fill="FFFFFF"/>
              </w:rPr>
              <w:t>Maari Ma Health</w:t>
            </w:r>
            <w:r w:rsidR="00884BFD" w:rsidRPr="0051452A">
              <w:rPr>
                <w:rFonts w:ascii="Arial" w:hAnsi="Arial" w:cs="Arial"/>
                <w:bCs/>
                <w:color w:val="333333"/>
                <w:sz w:val="22"/>
                <w:shd w:val="clear" w:color="auto" w:fill="FFFFFF"/>
              </w:rPr>
              <w:t>,</w:t>
            </w:r>
            <w:r w:rsidRPr="0051452A">
              <w:rPr>
                <w:rFonts w:ascii="Arial" w:hAnsi="Arial" w:cs="Arial"/>
                <w:bCs/>
                <w:color w:val="333333"/>
                <w:sz w:val="22"/>
                <w:shd w:val="clear" w:color="auto" w:fill="FFFFFF"/>
              </w:rPr>
              <w:t xml:space="preserve"> is an Aboriginal community</w:t>
            </w:r>
            <w:r w:rsidR="00884BFD" w:rsidRPr="0051452A">
              <w:rPr>
                <w:rFonts w:ascii="Arial" w:hAnsi="Arial" w:cs="Arial"/>
                <w:bCs/>
                <w:color w:val="333333"/>
                <w:sz w:val="22"/>
                <w:shd w:val="clear" w:color="auto" w:fill="FFFFFF"/>
              </w:rPr>
              <w:t>-</w:t>
            </w:r>
            <w:r w:rsidRPr="0051452A">
              <w:rPr>
                <w:rFonts w:ascii="Arial" w:hAnsi="Arial" w:cs="Arial"/>
                <w:bCs/>
                <w:color w:val="333333"/>
                <w:sz w:val="22"/>
                <w:shd w:val="clear" w:color="auto" w:fill="FFFFFF"/>
              </w:rPr>
              <w:t>controlled health organisation</w:t>
            </w:r>
            <w:r w:rsidR="00884BFD" w:rsidRPr="0051452A">
              <w:rPr>
                <w:rFonts w:ascii="Arial" w:hAnsi="Arial" w:cs="Arial"/>
                <w:bCs/>
                <w:color w:val="333333"/>
                <w:sz w:val="22"/>
                <w:shd w:val="clear" w:color="auto" w:fill="FFFFFF"/>
              </w:rPr>
              <w:t>.</w:t>
            </w:r>
          </w:p>
        </w:tc>
      </w:tr>
      <w:tr w:rsidR="003506E0" w14:paraId="00DD6938" w14:textId="77777777" w:rsidTr="003506E0">
        <w:tc>
          <w:tcPr>
            <w:tcW w:w="3402" w:type="dxa"/>
          </w:tcPr>
          <w:p w14:paraId="7648652B" w14:textId="77777777" w:rsidR="003506E0" w:rsidRPr="0051452A" w:rsidRDefault="003506E0" w:rsidP="003506E0">
            <w:pPr>
              <w:pStyle w:val="BodyText"/>
              <w:rPr>
                <w:sz w:val="22"/>
              </w:rPr>
            </w:pPr>
            <w:r w:rsidRPr="0051452A">
              <w:rPr>
                <w:sz w:val="22"/>
              </w:rPr>
              <w:t>(g)  to promote good design and amenity of the built environment</w:t>
            </w:r>
          </w:p>
        </w:tc>
        <w:tc>
          <w:tcPr>
            <w:tcW w:w="6236" w:type="dxa"/>
          </w:tcPr>
          <w:p w14:paraId="525E25CF" w14:textId="77777777" w:rsidR="003506E0" w:rsidRPr="0051452A" w:rsidRDefault="00884BFD" w:rsidP="003506E0">
            <w:pPr>
              <w:pStyle w:val="BodyText"/>
              <w:rPr>
                <w:sz w:val="22"/>
              </w:rPr>
            </w:pPr>
            <w:r w:rsidRPr="0051452A">
              <w:rPr>
                <w:sz w:val="22"/>
              </w:rPr>
              <w:t>We consider that the design of the proposal has had regard to the purpose for which it is being built, as well as being of a scale and bulk that will not detract from the nearby items of environmental heritage.</w:t>
            </w:r>
          </w:p>
        </w:tc>
      </w:tr>
      <w:tr w:rsidR="003506E0" w14:paraId="056EEB65" w14:textId="77777777" w:rsidTr="003506E0">
        <w:tc>
          <w:tcPr>
            <w:tcW w:w="3402" w:type="dxa"/>
          </w:tcPr>
          <w:p w14:paraId="491A35DA" w14:textId="77777777" w:rsidR="003506E0" w:rsidRPr="0051452A" w:rsidRDefault="003506E0" w:rsidP="003506E0">
            <w:pPr>
              <w:pStyle w:val="BodyText"/>
              <w:rPr>
                <w:sz w:val="22"/>
              </w:rPr>
            </w:pPr>
            <w:r w:rsidRPr="0051452A">
              <w:rPr>
                <w:sz w:val="22"/>
              </w:rPr>
              <w:t>(h)  to promote the proper construction and maintenance of buildings, including the protection of the health and safety of their occupants</w:t>
            </w:r>
          </w:p>
        </w:tc>
        <w:tc>
          <w:tcPr>
            <w:tcW w:w="6236" w:type="dxa"/>
          </w:tcPr>
          <w:p w14:paraId="0D90C1FE" w14:textId="77777777" w:rsidR="003506E0" w:rsidRPr="0051452A" w:rsidRDefault="0058391A" w:rsidP="003506E0">
            <w:pPr>
              <w:pStyle w:val="BodyText"/>
              <w:rPr>
                <w:sz w:val="22"/>
              </w:rPr>
            </w:pPr>
            <w:r w:rsidRPr="0051452A">
              <w:rPr>
                <w:sz w:val="22"/>
              </w:rPr>
              <w:t>The buildings will need to be constructed in accordance with the requirements of the Building Code of Australia as well as having regard to the potential impacts of flooding.</w:t>
            </w:r>
          </w:p>
        </w:tc>
      </w:tr>
      <w:tr w:rsidR="003506E0" w14:paraId="23821C25" w14:textId="77777777" w:rsidTr="003506E0">
        <w:tc>
          <w:tcPr>
            <w:tcW w:w="3402" w:type="dxa"/>
          </w:tcPr>
          <w:p w14:paraId="0B492510" w14:textId="77777777" w:rsidR="003506E0" w:rsidRPr="0051452A" w:rsidRDefault="003506E0" w:rsidP="003506E0">
            <w:pPr>
              <w:pStyle w:val="BodyText"/>
              <w:rPr>
                <w:sz w:val="22"/>
              </w:rPr>
            </w:pPr>
            <w:r w:rsidRPr="0051452A">
              <w:rPr>
                <w:sz w:val="22"/>
              </w:rPr>
              <w:t>(i)  to promote the sharing of the responsibility for environmental planning and assessment between the different levels of government in the State</w:t>
            </w:r>
          </w:p>
        </w:tc>
        <w:tc>
          <w:tcPr>
            <w:tcW w:w="6236" w:type="dxa"/>
          </w:tcPr>
          <w:p w14:paraId="101F801A" w14:textId="77777777" w:rsidR="003506E0" w:rsidRPr="0051452A" w:rsidRDefault="00884BFD" w:rsidP="003506E0">
            <w:pPr>
              <w:pStyle w:val="BodyText"/>
              <w:rPr>
                <w:sz w:val="22"/>
              </w:rPr>
            </w:pPr>
            <w:r w:rsidRPr="0051452A">
              <w:rPr>
                <w:sz w:val="22"/>
              </w:rPr>
              <w:t>While the assessment of the development application is undertaken at a local government level, the determination will be made by the independent Regional Planning Panel.</w:t>
            </w:r>
          </w:p>
        </w:tc>
      </w:tr>
      <w:tr w:rsidR="003506E0" w14:paraId="538590ED" w14:textId="77777777" w:rsidTr="003506E0">
        <w:tc>
          <w:tcPr>
            <w:tcW w:w="3402" w:type="dxa"/>
          </w:tcPr>
          <w:p w14:paraId="517E81D8" w14:textId="77777777" w:rsidR="003506E0" w:rsidRPr="0051452A" w:rsidRDefault="003506E0" w:rsidP="003506E0">
            <w:pPr>
              <w:pStyle w:val="BodyText"/>
              <w:rPr>
                <w:sz w:val="22"/>
              </w:rPr>
            </w:pPr>
            <w:r w:rsidRPr="0051452A">
              <w:rPr>
                <w:sz w:val="22"/>
              </w:rPr>
              <w:t>(j)  to provide increased opportunity for community participation in environmental planning and assessment</w:t>
            </w:r>
          </w:p>
        </w:tc>
        <w:tc>
          <w:tcPr>
            <w:tcW w:w="6236" w:type="dxa"/>
          </w:tcPr>
          <w:p w14:paraId="7D482377" w14:textId="77777777" w:rsidR="003506E0" w:rsidRPr="0051452A" w:rsidRDefault="00884BFD" w:rsidP="003506E0">
            <w:pPr>
              <w:pStyle w:val="BodyText"/>
              <w:rPr>
                <w:sz w:val="22"/>
              </w:rPr>
            </w:pPr>
            <w:r w:rsidRPr="0051452A">
              <w:rPr>
                <w:sz w:val="22"/>
              </w:rPr>
              <w:t>The community has had the opportunity to be involved in this proposal through various stages, including the planning proposal for the reclassification of the land from Community to Operational Land, notification of the development application, public meetings and more recently during advertising of the Voluntary Planning Agreement.</w:t>
            </w:r>
          </w:p>
        </w:tc>
      </w:tr>
    </w:tbl>
    <w:p w14:paraId="4615C850" w14:textId="77777777" w:rsidR="003506E0" w:rsidRDefault="003506E0" w:rsidP="003506E0">
      <w:pPr>
        <w:pStyle w:val="BodyText"/>
      </w:pPr>
    </w:p>
    <w:p w14:paraId="4CB27456" w14:textId="77777777" w:rsidR="00456E6F" w:rsidRDefault="00456E6F" w:rsidP="003506E0">
      <w:pPr>
        <w:pStyle w:val="BodyText"/>
      </w:pPr>
    </w:p>
    <w:p w14:paraId="7525E7D2" w14:textId="77777777" w:rsidR="00456E6F" w:rsidRDefault="00456E6F" w:rsidP="003506E0">
      <w:pPr>
        <w:pStyle w:val="BodyText"/>
      </w:pPr>
    </w:p>
    <w:p w14:paraId="4A3B68A9" w14:textId="77777777" w:rsidR="005C307A" w:rsidRPr="005C307A" w:rsidRDefault="005C307A" w:rsidP="003860D4">
      <w:pPr>
        <w:pStyle w:val="BodyText"/>
        <w:numPr>
          <w:ilvl w:val="6"/>
          <w:numId w:val="6"/>
        </w:numPr>
        <w:ind w:left="709" w:hanging="709"/>
        <w:rPr>
          <w:b/>
          <w:sz w:val="36"/>
          <w:szCs w:val="36"/>
        </w:rPr>
      </w:pPr>
      <w:r w:rsidRPr="005C307A">
        <w:rPr>
          <w:b/>
          <w:sz w:val="36"/>
          <w:szCs w:val="36"/>
        </w:rPr>
        <w:lastRenderedPageBreak/>
        <w:t>CONSULTATIONS AND SUBMISSIONS</w:t>
      </w:r>
    </w:p>
    <w:p w14:paraId="642B0185" w14:textId="77777777" w:rsidR="005C307A" w:rsidRPr="005C307A" w:rsidRDefault="005C307A" w:rsidP="005C307A">
      <w:pPr>
        <w:pStyle w:val="BodyText"/>
        <w:rPr>
          <w:b/>
        </w:rPr>
      </w:pPr>
      <w:r w:rsidRPr="005C307A">
        <w:rPr>
          <w:b/>
        </w:rPr>
        <w:t>Exhibition</w:t>
      </w:r>
    </w:p>
    <w:p w14:paraId="60E63B42" w14:textId="77777777" w:rsidR="005C307A" w:rsidRDefault="005C307A" w:rsidP="005C307A">
      <w:pPr>
        <w:pStyle w:val="BodyText"/>
      </w:pPr>
      <w:r>
        <w:t>The development application was exhibited and notified to surrounding properties</w:t>
      </w:r>
      <w:r w:rsidR="008D4E7C">
        <w:t xml:space="preserve"> for an extended period of 40 days</w:t>
      </w:r>
      <w:r>
        <w:t>, concluding on 18 February, 2022. No submissions were received.</w:t>
      </w:r>
    </w:p>
    <w:p w14:paraId="7B7C3B0C" w14:textId="77777777" w:rsidR="005C307A" w:rsidRPr="005C307A" w:rsidRDefault="005C307A" w:rsidP="005C307A">
      <w:pPr>
        <w:pStyle w:val="BodyText"/>
        <w:rPr>
          <w:b/>
        </w:rPr>
      </w:pPr>
      <w:r w:rsidRPr="005C307A">
        <w:rPr>
          <w:b/>
        </w:rPr>
        <w:t>Public authority submissions</w:t>
      </w:r>
    </w:p>
    <w:p w14:paraId="67F24706" w14:textId="77777777" w:rsidR="005C307A" w:rsidRDefault="007B6351" w:rsidP="005E0360">
      <w:pPr>
        <w:pStyle w:val="BodyText"/>
      </w:pPr>
      <w:r>
        <w:t xml:space="preserve">At the time of preparing this report, the Natural Resources Access Regulator had not </w:t>
      </w:r>
      <w:r w:rsidR="005E0360">
        <w:t xml:space="preserve">issued its General Terms of Approval under s4.47 of the Environmental Planning &amp; Assessment Act 1979. </w:t>
      </w:r>
      <w:r w:rsidR="005E0360" w:rsidRPr="005E0360">
        <w:t>The</w:t>
      </w:r>
      <w:r w:rsidR="005E0360">
        <w:t xml:space="preserve"> applicant’s attention is drawn to the need to </w:t>
      </w:r>
      <w:r w:rsidR="005E0360" w:rsidRPr="005E0360">
        <w:t xml:space="preserve">apply to </w:t>
      </w:r>
      <w:r w:rsidR="005E0360">
        <w:t xml:space="preserve">the Natural Resources Access Regulator </w:t>
      </w:r>
      <w:r w:rsidR="005E0360" w:rsidRPr="005E0360">
        <w:t xml:space="preserve">for the relevant approval </w:t>
      </w:r>
      <w:r w:rsidR="005E0360">
        <w:t xml:space="preserve">if and </w:t>
      </w:r>
      <w:r w:rsidR="005E0360" w:rsidRPr="005E0360">
        <w:t>after development consent has been</w:t>
      </w:r>
      <w:r w:rsidR="005E0360">
        <w:t xml:space="preserve"> </w:t>
      </w:r>
      <w:r w:rsidR="005E0360" w:rsidRPr="005E0360">
        <w:t xml:space="preserve">issued by </w:t>
      </w:r>
      <w:r w:rsidR="005E0360">
        <w:t>the consent authority</w:t>
      </w:r>
      <w:r w:rsidR="005E0360" w:rsidRPr="005E0360">
        <w:t xml:space="preserve"> and before the commencement of any work or activity.</w:t>
      </w:r>
    </w:p>
    <w:p w14:paraId="549BA132" w14:textId="77777777" w:rsidR="002B2D0C" w:rsidRDefault="00456E6F" w:rsidP="005E0360">
      <w:pPr>
        <w:pStyle w:val="BodyText"/>
      </w:pPr>
      <w:r>
        <w:t>In this regard, s</w:t>
      </w:r>
      <w:r w:rsidR="002B2D0C">
        <w:t>ome precautionary conditions have been included in the recommended draft consent conditions.</w:t>
      </w:r>
    </w:p>
    <w:p w14:paraId="7183EA35" w14:textId="77777777" w:rsidR="0051452A" w:rsidRDefault="0051452A" w:rsidP="005E0360">
      <w:pPr>
        <w:pStyle w:val="BodyText"/>
      </w:pPr>
    </w:p>
    <w:p w14:paraId="6CBCD46F" w14:textId="77777777" w:rsidR="005C307A" w:rsidRPr="005C307A" w:rsidRDefault="005C307A" w:rsidP="003860D4">
      <w:pPr>
        <w:pStyle w:val="BodyText"/>
        <w:numPr>
          <w:ilvl w:val="6"/>
          <w:numId w:val="6"/>
        </w:numPr>
        <w:ind w:left="709" w:hanging="709"/>
        <w:rPr>
          <w:b/>
          <w:sz w:val="36"/>
          <w:szCs w:val="36"/>
        </w:rPr>
      </w:pPr>
      <w:r w:rsidRPr="005C307A">
        <w:rPr>
          <w:b/>
          <w:sz w:val="36"/>
          <w:szCs w:val="36"/>
        </w:rPr>
        <w:t>ASSESSMENT</w:t>
      </w:r>
    </w:p>
    <w:p w14:paraId="232E96CB" w14:textId="77777777" w:rsidR="005C307A" w:rsidRDefault="005C307A" w:rsidP="005C307A">
      <w:pPr>
        <w:pStyle w:val="BodyText"/>
        <w:rPr>
          <w:b/>
        </w:rPr>
      </w:pPr>
      <w:r w:rsidRPr="00B62066">
        <w:rPr>
          <w:b/>
        </w:rPr>
        <w:t>Section 4.15(1) matter for consideration</w:t>
      </w:r>
    </w:p>
    <w:p w14:paraId="4D5BB5F3" w14:textId="77777777" w:rsidR="0051452A" w:rsidRPr="00B62066" w:rsidRDefault="0051452A" w:rsidP="005C307A">
      <w:pPr>
        <w:pStyle w:val="BodyText"/>
        <w:rPr>
          <w:b/>
        </w:rPr>
      </w:pPr>
      <w:r>
        <w:rPr>
          <w:b/>
        </w:rPr>
        <w:t>5.1</w:t>
      </w:r>
      <w:r>
        <w:rPr>
          <w:b/>
        </w:rPr>
        <w:tab/>
        <w:t>Environmental Planning Instruments</w:t>
      </w:r>
    </w:p>
    <w:p w14:paraId="525FFAB3" w14:textId="77777777" w:rsidR="006B2AFE" w:rsidRPr="002C7507" w:rsidRDefault="0051452A" w:rsidP="006B2AFE">
      <w:pPr>
        <w:shd w:val="clear" w:color="auto" w:fill="FFFFFF"/>
        <w:spacing w:before="300" w:after="150"/>
        <w:outlineLvl w:val="0"/>
        <w:rPr>
          <w:b/>
        </w:rPr>
      </w:pPr>
      <w:r w:rsidRPr="002C7507">
        <w:rPr>
          <w:b/>
        </w:rPr>
        <w:t>(i)</w:t>
      </w:r>
      <w:r w:rsidRPr="002C7507">
        <w:rPr>
          <w:b/>
        </w:rPr>
        <w:tab/>
      </w:r>
      <w:r w:rsidR="006B2AFE" w:rsidRPr="002C7507">
        <w:rPr>
          <w:b/>
        </w:rPr>
        <w:t>State Environmental Planning Policy (Planning Systems) 2021</w:t>
      </w:r>
    </w:p>
    <w:p w14:paraId="4721938C" w14:textId="77777777" w:rsidR="006B2AFE" w:rsidRDefault="006B2AFE" w:rsidP="006B2AFE">
      <w:pPr>
        <w:pStyle w:val="BodyText"/>
      </w:pPr>
      <w:r w:rsidRPr="00DF54A9">
        <w:t>The proposal has a capital investment value of $6,356,659. Accordingly, it is Regionally Significant Development under Part 2.4 and Schedule 6 of State Environmental Planning Policy (Planning Systems) 2021 (as it has a CIV of greater than $5 million) and is a ‘health services facility’.</w:t>
      </w:r>
      <w:r>
        <w:t xml:space="preserve"> For that reason, the development application will need to be determined by the Western Regional Planning Panel.</w:t>
      </w:r>
      <w:r w:rsidRPr="00DF54A9">
        <w:t xml:space="preserve">  </w:t>
      </w:r>
    </w:p>
    <w:p w14:paraId="6E2638A0" w14:textId="77777777" w:rsidR="006B2AFE" w:rsidRPr="002C7507" w:rsidRDefault="006B2AFE" w:rsidP="003860D4">
      <w:pPr>
        <w:pStyle w:val="ListParagraph"/>
        <w:numPr>
          <w:ilvl w:val="5"/>
          <w:numId w:val="6"/>
        </w:numPr>
        <w:shd w:val="clear" w:color="auto" w:fill="FFFFFF"/>
        <w:spacing w:before="300" w:after="150"/>
        <w:ind w:left="709" w:hanging="709"/>
        <w:outlineLvl w:val="0"/>
        <w:rPr>
          <w:b/>
        </w:rPr>
      </w:pPr>
      <w:r w:rsidRPr="002C7507">
        <w:rPr>
          <w:b/>
        </w:rPr>
        <w:t>State Environmental Planning Policy (Resilience and Hazards) 2021</w:t>
      </w:r>
    </w:p>
    <w:p w14:paraId="4B573900" w14:textId="77777777" w:rsidR="006B2AFE" w:rsidRDefault="006B2AFE" w:rsidP="006B2AFE">
      <w:pPr>
        <w:pStyle w:val="BodyText"/>
      </w:pPr>
      <w:r>
        <w:t xml:space="preserve">There is limited documentation about the </w:t>
      </w:r>
      <w:r w:rsidR="0045200B">
        <w:t xml:space="preserve">post- </w:t>
      </w:r>
      <w:r>
        <w:t xml:space="preserve">European </w:t>
      </w:r>
      <w:r w:rsidR="0045200B">
        <w:t xml:space="preserve">occupation </w:t>
      </w:r>
      <w:r>
        <w:t>history of land uses on the site to be able to determine whether any historic uses have led to the land being contaminated. The land was recently owned by Central Darling Shire Council who indicate that it has</w:t>
      </w:r>
      <w:r w:rsidR="00404E37">
        <w:t>,</w:t>
      </w:r>
      <w:r>
        <w:t xml:space="preserve"> in more recent times</w:t>
      </w:r>
      <w:r w:rsidR="00404E37">
        <w:t>,</w:t>
      </w:r>
      <w:r>
        <w:t xml:space="preserve"> </w:t>
      </w:r>
      <w:r w:rsidR="007A42D2">
        <w:t xml:space="preserve">in part </w:t>
      </w:r>
      <w:r>
        <w:t>been used as an access path for the water pump located to the south-east of the site. There has been no known industrial use of the land and it does not appear to have been subject to illegal dumping of chemicals</w:t>
      </w:r>
      <w:r w:rsidR="00387C3F">
        <w:t xml:space="preserve">. Some </w:t>
      </w:r>
      <w:r>
        <w:t>building materials</w:t>
      </w:r>
      <w:r w:rsidR="00387C3F">
        <w:t xml:space="preserve"> are scattered on and adjacent to the site, remnants of buildings long since demolished on or near the site</w:t>
      </w:r>
      <w:r>
        <w:t xml:space="preserve">. </w:t>
      </w:r>
    </w:p>
    <w:p w14:paraId="6C329DF9" w14:textId="77777777" w:rsidR="006F6D34" w:rsidRDefault="006F6D34" w:rsidP="006B2AFE">
      <w:pPr>
        <w:pStyle w:val="BodyText"/>
      </w:pPr>
      <w:r>
        <w:t xml:space="preserve">State Environmental Planning Policy (Resilience and Hazards) 2021 </w:t>
      </w:r>
      <w:r w:rsidR="00661A4F">
        <w:t xml:space="preserve">(‘the SEPP’) </w:t>
      </w:r>
      <w:r>
        <w:t xml:space="preserve">is the primary environmental planning instrument guiding the remediation of contaminated land in NSW. </w:t>
      </w:r>
    </w:p>
    <w:p w14:paraId="6CE345A7" w14:textId="77777777" w:rsidR="006F6D34" w:rsidRDefault="006F6D34" w:rsidP="006F6D34">
      <w:pPr>
        <w:rPr>
          <w:rFonts w:eastAsiaTheme="minorHAnsi"/>
          <w:color w:val="000000"/>
          <w:shd w:val="clear" w:color="auto" w:fill="FFFFFF"/>
          <w:lang w:eastAsia="en-US"/>
        </w:rPr>
      </w:pPr>
      <w:r>
        <w:rPr>
          <w:rFonts w:eastAsiaTheme="minorHAnsi"/>
          <w:color w:val="000000"/>
          <w:shd w:val="clear" w:color="auto" w:fill="FFFFFF"/>
          <w:lang w:eastAsia="en-US"/>
        </w:rPr>
        <w:t>The relevant objectives of the SEPP include:</w:t>
      </w:r>
    </w:p>
    <w:p w14:paraId="65F3FC98" w14:textId="77777777" w:rsidR="006F6D34" w:rsidRDefault="006F6D34" w:rsidP="006F6D34">
      <w:pPr>
        <w:rPr>
          <w:rFonts w:eastAsiaTheme="minorHAnsi"/>
          <w:color w:val="000000"/>
          <w:shd w:val="clear" w:color="auto" w:fill="FFFFFF"/>
          <w:lang w:eastAsia="en-US"/>
        </w:rPr>
      </w:pPr>
    </w:p>
    <w:p w14:paraId="5C2E46D5" w14:textId="77777777" w:rsidR="006F6D34" w:rsidRPr="006F6D34" w:rsidRDefault="006F6D34" w:rsidP="003860D4">
      <w:pPr>
        <w:pStyle w:val="ListParagraph"/>
        <w:numPr>
          <w:ilvl w:val="0"/>
          <w:numId w:val="23"/>
        </w:numPr>
        <w:rPr>
          <w:rFonts w:eastAsiaTheme="minorHAnsi" w:cstheme="minorHAnsi"/>
          <w:lang w:eastAsia="en-US"/>
        </w:rPr>
      </w:pPr>
      <w:r>
        <w:rPr>
          <w:rFonts w:eastAsiaTheme="minorHAnsi"/>
          <w:color w:val="000000"/>
          <w:shd w:val="clear" w:color="auto" w:fill="FFFFFF"/>
          <w:lang w:eastAsia="en-US"/>
        </w:rPr>
        <w:t xml:space="preserve">To </w:t>
      </w:r>
      <w:r w:rsidRPr="006F6D34">
        <w:rPr>
          <w:rFonts w:eastAsiaTheme="minorHAnsi"/>
          <w:color w:val="000000"/>
          <w:shd w:val="clear" w:color="auto" w:fill="FFFFFF"/>
          <w:lang w:eastAsia="en-US"/>
        </w:rPr>
        <w:t>provide for a State</w:t>
      </w:r>
      <w:r>
        <w:rPr>
          <w:rFonts w:eastAsiaTheme="minorHAnsi"/>
          <w:color w:val="000000"/>
          <w:shd w:val="clear" w:color="auto" w:fill="FFFFFF"/>
          <w:lang w:eastAsia="en-US"/>
        </w:rPr>
        <w:t>-</w:t>
      </w:r>
      <w:r w:rsidRPr="006F6D34">
        <w:rPr>
          <w:rFonts w:eastAsiaTheme="minorHAnsi"/>
          <w:color w:val="000000"/>
          <w:shd w:val="clear" w:color="auto" w:fill="FFFFFF"/>
          <w:lang w:eastAsia="en-US"/>
        </w:rPr>
        <w:t>wide planning approach to the remediation of contaminated land</w:t>
      </w:r>
      <w:r>
        <w:rPr>
          <w:rFonts w:eastAsiaTheme="minorHAnsi"/>
          <w:color w:val="000000"/>
          <w:shd w:val="clear" w:color="auto" w:fill="FFFFFF"/>
          <w:lang w:eastAsia="en-US"/>
        </w:rPr>
        <w:t>,</w:t>
      </w:r>
    </w:p>
    <w:p w14:paraId="76603DA1" w14:textId="77777777" w:rsidR="006F6D34" w:rsidRPr="006F6D34" w:rsidRDefault="006F6D34" w:rsidP="006F6D34">
      <w:pPr>
        <w:rPr>
          <w:rFonts w:eastAsiaTheme="minorHAnsi" w:cstheme="minorHAnsi"/>
          <w:lang w:eastAsia="en-US"/>
        </w:rPr>
      </w:pPr>
    </w:p>
    <w:p w14:paraId="65294B0A" w14:textId="77777777" w:rsidR="006F6D34" w:rsidRPr="006F6D34" w:rsidRDefault="006F6D34" w:rsidP="003860D4">
      <w:pPr>
        <w:pStyle w:val="ListParagraph"/>
        <w:numPr>
          <w:ilvl w:val="0"/>
          <w:numId w:val="23"/>
        </w:numPr>
        <w:rPr>
          <w:rFonts w:eastAsiaTheme="minorHAnsi" w:cstheme="minorHAnsi"/>
          <w:lang w:eastAsia="en-US"/>
        </w:rPr>
      </w:pPr>
      <w:r>
        <w:rPr>
          <w:rFonts w:eastAsiaTheme="minorHAnsi" w:cstheme="minorHAnsi"/>
          <w:lang w:eastAsia="en-US"/>
        </w:rPr>
        <w:t xml:space="preserve">To </w:t>
      </w:r>
      <w:r w:rsidRPr="006F6D34">
        <w:rPr>
          <w:rFonts w:eastAsiaTheme="minorHAnsi" w:cstheme="minorHAnsi"/>
          <w:lang w:eastAsia="en-US"/>
        </w:rPr>
        <w:t>specify when consent is required, and when it is not required, for remediation work</w:t>
      </w:r>
      <w:r>
        <w:rPr>
          <w:rFonts w:eastAsiaTheme="minorHAnsi" w:cstheme="minorHAnsi"/>
          <w:lang w:eastAsia="en-US"/>
        </w:rPr>
        <w:t>s</w:t>
      </w:r>
      <w:r w:rsidRPr="006F6D34">
        <w:rPr>
          <w:rFonts w:eastAsiaTheme="minorHAnsi" w:cstheme="minorHAnsi"/>
          <w:lang w:eastAsia="en-US"/>
        </w:rPr>
        <w:t xml:space="preserve">, </w:t>
      </w:r>
    </w:p>
    <w:p w14:paraId="7C309AB7" w14:textId="77777777" w:rsidR="006F6D34" w:rsidRPr="006F6D34" w:rsidRDefault="006F6D34" w:rsidP="006F6D34">
      <w:pPr>
        <w:rPr>
          <w:rFonts w:eastAsiaTheme="minorHAnsi" w:cstheme="minorHAnsi"/>
          <w:lang w:eastAsia="en-US"/>
        </w:rPr>
      </w:pPr>
    </w:p>
    <w:p w14:paraId="6FAC67BF" w14:textId="77777777" w:rsidR="006F6D34" w:rsidRPr="006F6D34" w:rsidRDefault="006F6D34" w:rsidP="003860D4">
      <w:pPr>
        <w:pStyle w:val="ListParagraph"/>
        <w:numPr>
          <w:ilvl w:val="0"/>
          <w:numId w:val="23"/>
        </w:numPr>
        <w:rPr>
          <w:rFonts w:eastAsiaTheme="minorHAnsi" w:cstheme="minorHAnsi"/>
          <w:lang w:eastAsia="en-US"/>
        </w:rPr>
      </w:pPr>
      <w:r>
        <w:rPr>
          <w:rFonts w:eastAsiaTheme="minorHAnsi" w:cstheme="minorHAnsi"/>
          <w:lang w:eastAsia="en-US"/>
        </w:rPr>
        <w:t>To</w:t>
      </w:r>
      <w:r w:rsidRPr="006F6D34">
        <w:rPr>
          <w:rFonts w:eastAsiaTheme="minorHAnsi" w:cstheme="minorHAnsi"/>
          <w:lang w:eastAsia="en-US"/>
        </w:rPr>
        <w:t xml:space="preserve"> specify certain considerations that are relevant in determining development applications in general, and</w:t>
      </w:r>
    </w:p>
    <w:p w14:paraId="44150199" w14:textId="77777777" w:rsidR="006F6D34" w:rsidRPr="006F6D34" w:rsidRDefault="006F6D34" w:rsidP="006F6D34">
      <w:pPr>
        <w:rPr>
          <w:rFonts w:eastAsiaTheme="minorHAnsi" w:cstheme="minorHAnsi"/>
          <w:lang w:eastAsia="en-US"/>
        </w:rPr>
      </w:pPr>
    </w:p>
    <w:p w14:paraId="74EB241E" w14:textId="77777777" w:rsidR="006F6D34" w:rsidRPr="006F6D34" w:rsidRDefault="006F6D34" w:rsidP="003860D4">
      <w:pPr>
        <w:pStyle w:val="ListParagraph"/>
        <w:numPr>
          <w:ilvl w:val="0"/>
          <w:numId w:val="23"/>
        </w:numPr>
        <w:rPr>
          <w:rFonts w:eastAsiaTheme="minorHAnsi" w:cstheme="minorHAnsi"/>
          <w:lang w:eastAsia="en-US"/>
        </w:rPr>
      </w:pPr>
      <w:r>
        <w:rPr>
          <w:rFonts w:eastAsiaTheme="minorHAnsi" w:cstheme="minorHAnsi"/>
          <w:lang w:eastAsia="en-US"/>
        </w:rPr>
        <w:t>R</w:t>
      </w:r>
      <w:r w:rsidRPr="006F6D34">
        <w:rPr>
          <w:rFonts w:eastAsiaTheme="minorHAnsi" w:cstheme="minorHAnsi"/>
          <w:lang w:eastAsia="en-US"/>
        </w:rPr>
        <w:t>equiring that remediation work</w:t>
      </w:r>
      <w:r>
        <w:rPr>
          <w:rFonts w:eastAsiaTheme="minorHAnsi" w:cstheme="minorHAnsi"/>
          <w:lang w:eastAsia="en-US"/>
        </w:rPr>
        <w:t>s</w:t>
      </w:r>
      <w:r w:rsidRPr="006F6D34">
        <w:rPr>
          <w:rFonts w:eastAsiaTheme="minorHAnsi" w:cstheme="minorHAnsi"/>
          <w:lang w:eastAsia="en-US"/>
        </w:rPr>
        <w:t xml:space="preserve"> meet certain standards and notification requirements.</w:t>
      </w:r>
    </w:p>
    <w:p w14:paraId="7BD5956C" w14:textId="77777777" w:rsidR="006F6D34" w:rsidRPr="006F6D34" w:rsidRDefault="006F6D34" w:rsidP="006F6D34">
      <w:pPr>
        <w:rPr>
          <w:rFonts w:eastAsiaTheme="minorHAnsi" w:cstheme="minorHAnsi"/>
          <w:lang w:eastAsia="en-US"/>
        </w:rPr>
      </w:pPr>
    </w:p>
    <w:p w14:paraId="4BD23A42" w14:textId="77777777" w:rsidR="006F6D34" w:rsidRDefault="006F6D34" w:rsidP="006B2AFE">
      <w:pPr>
        <w:pStyle w:val="BodyText"/>
      </w:pPr>
      <w:r>
        <w:t>Clause 4.6 of the SEPP identified that a consent authority must not consent to the carrying out of any development on land unless:</w:t>
      </w:r>
    </w:p>
    <w:p w14:paraId="5B11D0B7" w14:textId="77777777" w:rsidR="006F6D34" w:rsidRDefault="006F6D34" w:rsidP="003860D4">
      <w:pPr>
        <w:pStyle w:val="ListParagraph"/>
        <w:numPr>
          <w:ilvl w:val="0"/>
          <w:numId w:val="24"/>
        </w:numPr>
        <w:shd w:val="clear" w:color="auto" w:fill="FFFFFF"/>
        <w:ind w:left="993" w:hanging="709"/>
        <w:rPr>
          <w:rFonts w:eastAsia="Times New Roman" w:cstheme="minorHAnsi"/>
          <w:color w:val="000000"/>
          <w:lang w:eastAsia="en-AU"/>
        </w:rPr>
      </w:pPr>
      <w:r w:rsidRPr="006F6D34">
        <w:rPr>
          <w:rFonts w:eastAsia="Times New Roman" w:cstheme="minorHAnsi"/>
          <w:color w:val="000000"/>
          <w:lang w:eastAsia="en-AU"/>
        </w:rPr>
        <w:t xml:space="preserve">it has considered whether the land is contaminated, and </w:t>
      </w:r>
    </w:p>
    <w:p w14:paraId="5580D50B" w14:textId="77777777" w:rsidR="006F6D34" w:rsidRDefault="006F6D34" w:rsidP="003860D4">
      <w:pPr>
        <w:pStyle w:val="ListParagraph"/>
        <w:numPr>
          <w:ilvl w:val="0"/>
          <w:numId w:val="24"/>
        </w:numPr>
        <w:shd w:val="clear" w:color="auto" w:fill="FFFFFF"/>
        <w:ind w:left="993" w:hanging="709"/>
        <w:rPr>
          <w:rFonts w:eastAsia="Times New Roman" w:cstheme="minorHAnsi"/>
          <w:color w:val="000000"/>
          <w:lang w:eastAsia="en-AU"/>
        </w:rPr>
      </w:pPr>
      <w:r w:rsidRPr="006F6D34">
        <w:rPr>
          <w:rFonts w:eastAsia="Times New Roman" w:cstheme="minorHAnsi"/>
          <w:color w:val="000000"/>
          <w:lang w:eastAsia="en-AU"/>
        </w:rPr>
        <w:t xml:space="preserve">if the land is contaminated, it is satisfied that the land is suitable in its contaminated state (or will be suitable, after remediation) for the purpose for which the development is proposed to be carried out, and  </w:t>
      </w:r>
    </w:p>
    <w:p w14:paraId="4A79FBA9" w14:textId="77777777" w:rsidR="006F6D34" w:rsidRPr="006F6D34" w:rsidRDefault="006F6D34" w:rsidP="003860D4">
      <w:pPr>
        <w:pStyle w:val="ListParagraph"/>
        <w:numPr>
          <w:ilvl w:val="0"/>
          <w:numId w:val="24"/>
        </w:numPr>
        <w:shd w:val="clear" w:color="auto" w:fill="FFFFFF"/>
        <w:ind w:left="993" w:hanging="709"/>
        <w:rPr>
          <w:rFonts w:eastAsia="Times New Roman" w:cstheme="minorHAnsi"/>
          <w:color w:val="000000"/>
          <w:lang w:eastAsia="en-AU"/>
        </w:rPr>
      </w:pPr>
      <w:r w:rsidRPr="006F6D34">
        <w:rPr>
          <w:rFonts w:eastAsia="Times New Roman" w:cstheme="minorHAnsi"/>
          <w:color w:val="000000"/>
          <w:lang w:eastAsia="en-AU"/>
        </w:rPr>
        <w:t>if the land requires remediation to be made suitable for the purpose for which the development is proposed to be carried out, it is satisfied that the land will be remediated before the land is used for that purpose.</w:t>
      </w:r>
    </w:p>
    <w:p w14:paraId="44B8551E" w14:textId="77777777" w:rsidR="006F6D34" w:rsidRPr="006F6D34" w:rsidRDefault="006F6D34" w:rsidP="006F6D34">
      <w:pPr>
        <w:rPr>
          <w:rFonts w:eastAsiaTheme="minorHAnsi" w:cstheme="minorHAnsi"/>
          <w:lang w:eastAsia="en-US"/>
        </w:rPr>
      </w:pPr>
    </w:p>
    <w:p w14:paraId="6EA627C1" w14:textId="77777777" w:rsidR="00387C3F" w:rsidRDefault="00387C3F" w:rsidP="006B2AFE">
      <w:pPr>
        <w:pStyle w:val="BodyText"/>
      </w:pPr>
      <w:r>
        <w:t>A preliminary site contamination assessment was undertaken by Barnson, who makes the following conclusions:</w:t>
      </w:r>
    </w:p>
    <w:p w14:paraId="774FF85E" w14:textId="77777777" w:rsidR="00387C3F" w:rsidRDefault="00387C3F" w:rsidP="002C7507">
      <w:pPr>
        <w:pStyle w:val="BodyText"/>
        <w:numPr>
          <w:ilvl w:val="0"/>
          <w:numId w:val="21"/>
        </w:numPr>
        <w:spacing w:line="240" w:lineRule="auto"/>
      </w:pPr>
      <w:r>
        <w:t>Activities associated with the historical and current use of the Subject Site were identified as having a potential to contaminate surface soil at the site.</w:t>
      </w:r>
    </w:p>
    <w:p w14:paraId="51F825A9" w14:textId="77777777" w:rsidR="00387C3F" w:rsidRDefault="00387C3F" w:rsidP="002C7507">
      <w:pPr>
        <w:pStyle w:val="BodyText"/>
        <w:numPr>
          <w:ilvl w:val="0"/>
          <w:numId w:val="21"/>
        </w:numPr>
        <w:spacing w:line="240" w:lineRule="auto"/>
      </w:pPr>
      <w:r>
        <w:t>Potential sources of contamination were identified on the site including remnants of historical structures, vehicles accessing the site and unclassified fill</w:t>
      </w:r>
    </w:p>
    <w:p w14:paraId="37C99372" w14:textId="77777777" w:rsidR="00387C3F" w:rsidRDefault="00387C3F" w:rsidP="002C7507">
      <w:pPr>
        <w:pStyle w:val="BodyText"/>
        <w:numPr>
          <w:ilvl w:val="0"/>
          <w:numId w:val="21"/>
        </w:numPr>
        <w:spacing w:line="240" w:lineRule="auto"/>
      </w:pPr>
      <w:r>
        <w:t>A review of the available historical information, including contaminated sites databases and aerial photographs, indicated a low potential for significant environmental contamination to be present across the site.</w:t>
      </w:r>
    </w:p>
    <w:p w14:paraId="4B2A4817" w14:textId="77777777" w:rsidR="00387C3F" w:rsidRDefault="00387C3F" w:rsidP="002C7507">
      <w:pPr>
        <w:pStyle w:val="BodyText"/>
        <w:numPr>
          <w:ilvl w:val="0"/>
          <w:numId w:val="21"/>
        </w:numPr>
        <w:spacing w:line="240" w:lineRule="auto"/>
      </w:pPr>
      <w:r>
        <w:t>A site investigation and confirmatory soil sampling confirmed that concentrations of all contaminants investigated were below health-risk based screening criteria, for commercial land use, in all surface soil samples collected. Only traces of one persistent pesticide and hydrocarbons were detected in the samples of fill material.</w:t>
      </w:r>
    </w:p>
    <w:p w14:paraId="301C85BB" w14:textId="77777777" w:rsidR="00387C3F" w:rsidRDefault="00387C3F" w:rsidP="002C7507">
      <w:pPr>
        <w:pStyle w:val="BodyText"/>
        <w:numPr>
          <w:ilvl w:val="0"/>
          <w:numId w:val="21"/>
        </w:numPr>
        <w:spacing w:line="240" w:lineRule="auto"/>
      </w:pPr>
      <w:r>
        <w:t>The highest concentrations of hydrocarbons were detected in the soil sample collected from the drainage channel. The concentrations detected were below both health and ecological screening levels for commercial land use.</w:t>
      </w:r>
    </w:p>
    <w:p w14:paraId="51431593" w14:textId="77777777" w:rsidR="00387C3F" w:rsidRDefault="00387C3F" w:rsidP="002C7507">
      <w:pPr>
        <w:pStyle w:val="BodyText"/>
        <w:numPr>
          <w:ilvl w:val="0"/>
          <w:numId w:val="21"/>
        </w:numPr>
        <w:spacing w:line="240" w:lineRule="auto"/>
      </w:pPr>
      <w:r>
        <w:t>The screening criteria used in the evaluation of the contaminant concentrations were appropriately conservative and suitable for assessment of the proposed commercial land use.</w:t>
      </w:r>
    </w:p>
    <w:p w14:paraId="159F7C8D" w14:textId="77777777" w:rsidR="00387C3F" w:rsidRDefault="00387C3F" w:rsidP="006B2AFE">
      <w:pPr>
        <w:pStyle w:val="BodyText"/>
      </w:pPr>
      <w:r>
        <w:t>The recommendations of Barnson are:</w:t>
      </w:r>
    </w:p>
    <w:p w14:paraId="2279E007" w14:textId="77777777" w:rsidR="00387C3F" w:rsidRPr="00387C3F" w:rsidRDefault="00387C3F" w:rsidP="003860D4">
      <w:pPr>
        <w:pStyle w:val="Default"/>
        <w:numPr>
          <w:ilvl w:val="0"/>
          <w:numId w:val="22"/>
        </w:numPr>
        <w:rPr>
          <w:rFonts w:asciiTheme="minorHAnsi" w:hAnsiTheme="minorHAnsi" w:cstheme="minorBidi"/>
          <w:i/>
          <w:color w:val="auto"/>
          <w:sz w:val="22"/>
          <w:szCs w:val="22"/>
        </w:rPr>
      </w:pPr>
      <w:r w:rsidRPr="00387C3F">
        <w:rPr>
          <w:rFonts w:asciiTheme="minorHAnsi" w:hAnsiTheme="minorHAnsi" w:cstheme="minorBidi"/>
          <w:i/>
          <w:color w:val="auto"/>
          <w:sz w:val="22"/>
          <w:szCs w:val="22"/>
        </w:rPr>
        <w:t xml:space="preserve">Based on the findings of the desktop review and site investigation it can be stated with a reasonable level of confidence that the </w:t>
      </w:r>
      <w:r>
        <w:rPr>
          <w:rFonts w:asciiTheme="minorHAnsi" w:hAnsiTheme="minorHAnsi" w:cstheme="minorBidi"/>
          <w:i/>
          <w:color w:val="auto"/>
          <w:sz w:val="22"/>
          <w:szCs w:val="22"/>
        </w:rPr>
        <w:t>s</w:t>
      </w:r>
      <w:r w:rsidRPr="00387C3F">
        <w:rPr>
          <w:rFonts w:asciiTheme="minorHAnsi" w:hAnsiTheme="minorHAnsi" w:cstheme="minorBidi"/>
          <w:i/>
          <w:color w:val="auto"/>
          <w:sz w:val="22"/>
          <w:szCs w:val="22"/>
        </w:rPr>
        <w:t xml:space="preserve">ubject </w:t>
      </w:r>
      <w:r>
        <w:rPr>
          <w:rFonts w:asciiTheme="minorHAnsi" w:hAnsiTheme="minorHAnsi" w:cstheme="minorBidi"/>
          <w:i/>
          <w:color w:val="auto"/>
          <w:sz w:val="22"/>
          <w:szCs w:val="22"/>
        </w:rPr>
        <w:t>s</w:t>
      </w:r>
      <w:r w:rsidRPr="00387C3F">
        <w:rPr>
          <w:rFonts w:asciiTheme="minorHAnsi" w:hAnsiTheme="minorHAnsi" w:cstheme="minorBidi"/>
          <w:i/>
          <w:color w:val="auto"/>
          <w:sz w:val="22"/>
          <w:szCs w:val="22"/>
        </w:rPr>
        <w:t xml:space="preserve">ite is suitable for the proposed re-development and land use. </w:t>
      </w:r>
    </w:p>
    <w:p w14:paraId="389425DD" w14:textId="77777777" w:rsidR="00387C3F" w:rsidRPr="00387C3F" w:rsidRDefault="00387C3F" w:rsidP="003860D4">
      <w:pPr>
        <w:pStyle w:val="Default"/>
        <w:numPr>
          <w:ilvl w:val="0"/>
          <w:numId w:val="22"/>
        </w:numPr>
        <w:rPr>
          <w:rFonts w:asciiTheme="minorHAnsi" w:hAnsiTheme="minorHAnsi" w:cstheme="minorBidi"/>
          <w:i/>
          <w:color w:val="auto"/>
          <w:sz w:val="22"/>
          <w:szCs w:val="22"/>
        </w:rPr>
      </w:pPr>
      <w:r w:rsidRPr="00387C3F">
        <w:rPr>
          <w:rFonts w:asciiTheme="minorHAnsi" w:hAnsiTheme="minorHAnsi" w:cstheme="minorBidi"/>
          <w:i/>
          <w:color w:val="auto"/>
          <w:sz w:val="22"/>
          <w:szCs w:val="22"/>
        </w:rPr>
        <w:t xml:space="preserve">It is recommended that the stockpiles of fill material as well as demolition waste present at the </w:t>
      </w:r>
      <w:r>
        <w:rPr>
          <w:rFonts w:asciiTheme="minorHAnsi" w:hAnsiTheme="minorHAnsi" w:cstheme="minorBidi"/>
          <w:i/>
          <w:color w:val="auto"/>
          <w:sz w:val="22"/>
          <w:szCs w:val="22"/>
        </w:rPr>
        <w:t>s</w:t>
      </w:r>
      <w:r w:rsidRPr="00387C3F">
        <w:rPr>
          <w:rFonts w:asciiTheme="minorHAnsi" w:hAnsiTheme="minorHAnsi" w:cstheme="minorBidi"/>
          <w:i/>
          <w:color w:val="auto"/>
          <w:sz w:val="22"/>
          <w:szCs w:val="22"/>
        </w:rPr>
        <w:t xml:space="preserve">ubject </w:t>
      </w:r>
      <w:r>
        <w:rPr>
          <w:rFonts w:asciiTheme="minorHAnsi" w:hAnsiTheme="minorHAnsi" w:cstheme="minorBidi"/>
          <w:i/>
          <w:color w:val="auto"/>
          <w:sz w:val="22"/>
          <w:szCs w:val="22"/>
        </w:rPr>
        <w:t>s</w:t>
      </w:r>
      <w:r w:rsidRPr="00387C3F">
        <w:rPr>
          <w:rFonts w:asciiTheme="minorHAnsi" w:hAnsiTheme="minorHAnsi" w:cstheme="minorBidi"/>
          <w:i/>
          <w:color w:val="auto"/>
          <w:sz w:val="22"/>
          <w:szCs w:val="22"/>
        </w:rPr>
        <w:t xml:space="preserve">ite be removed and appropriately disposed, prior to the commencement of any earthworks or construction.  </w:t>
      </w:r>
    </w:p>
    <w:p w14:paraId="267D6767" w14:textId="77777777" w:rsidR="00387C3F" w:rsidRPr="00387C3F" w:rsidRDefault="00387C3F" w:rsidP="003860D4">
      <w:pPr>
        <w:pStyle w:val="Default"/>
        <w:numPr>
          <w:ilvl w:val="0"/>
          <w:numId w:val="22"/>
        </w:numPr>
        <w:rPr>
          <w:rFonts w:asciiTheme="minorHAnsi" w:hAnsiTheme="minorHAnsi" w:cstheme="minorBidi"/>
          <w:color w:val="auto"/>
          <w:sz w:val="22"/>
          <w:szCs w:val="22"/>
        </w:rPr>
      </w:pPr>
      <w:r w:rsidRPr="00387C3F">
        <w:rPr>
          <w:rFonts w:asciiTheme="minorHAnsi" w:hAnsiTheme="minorHAnsi" w:cstheme="minorBidi"/>
          <w:i/>
          <w:color w:val="auto"/>
          <w:sz w:val="22"/>
          <w:szCs w:val="22"/>
        </w:rPr>
        <w:t>It is recommended that any material excavated from the drainage channel or its banks be appropriately classified in terms of the Excavated Natural Materials Order (NSW EPA, 2014) prior to being used on-site or removed off site.</w:t>
      </w:r>
      <w:r w:rsidRPr="00387C3F">
        <w:rPr>
          <w:rFonts w:asciiTheme="minorHAnsi" w:hAnsiTheme="minorHAnsi" w:cstheme="minorBidi"/>
          <w:color w:val="auto"/>
          <w:sz w:val="22"/>
          <w:szCs w:val="22"/>
        </w:rPr>
        <w:t xml:space="preserve"> </w:t>
      </w:r>
    </w:p>
    <w:p w14:paraId="33F4A546" w14:textId="77777777" w:rsidR="00387C3F" w:rsidRDefault="00387C3F" w:rsidP="00387C3F">
      <w:pPr>
        <w:pStyle w:val="Default"/>
        <w:rPr>
          <w:sz w:val="22"/>
          <w:szCs w:val="22"/>
        </w:rPr>
      </w:pPr>
    </w:p>
    <w:p w14:paraId="4B753383" w14:textId="77777777" w:rsidR="00387C3F" w:rsidRDefault="00387C3F" w:rsidP="00387C3F">
      <w:pPr>
        <w:pStyle w:val="Default"/>
        <w:rPr>
          <w:rFonts w:asciiTheme="minorHAnsi" w:hAnsiTheme="minorHAnsi" w:cstheme="minorHAnsi"/>
          <w:color w:val="auto"/>
          <w:sz w:val="22"/>
          <w:szCs w:val="22"/>
        </w:rPr>
      </w:pPr>
      <w:r w:rsidRPr="00ED783C">
        <w:rPr>
          <w:rFonts w:asciiTheme="minorHAnsi" w:hAnsiTheme="minorHAnsi" w:cstheme="minorHAnsi"/>
          <w:color w:val="auto"/>
          <w:sz w:val="22"/>
          <w:szCs w:val="22"/>
        </w:rPr>
        <w:t xml:space="preserve">This level of investigation and </w:t>
      </w:r>
      <w:r w:rsidR="00ED783C" w:rsidRPr="00ED783C">
        <w:rPr>
          <w:rFonts w:asciiTheme="minorHAnsi" w:hAnsiTheme="minorHAnsi" w:cstheme="minorHAnsi"/>
          <w:color w:val="auto"/>
          <w:sz w:val="22"/>
          <w:szCs w:val="22"/>
        </w:rPr>
        <w:t xml:space="preserve">assessment is considered adequate for this development and for this site. Accordingly, </w:t>
      </w:r>
      <w:r w:rsidR="00247E8D">
        <w:rPr>
          <w:rFonts w:asciiTheme="minorHAnsi" w:hAnsiTheme="minorHAnsi" w:cstheme="minorHAnsi"/>
          <w:color w:val="auto"/>
          <w:sz w:val="22"/>
          <w:szCs w:val="22"/>
        </w:rPr>
        <w:t xml:space="preserve">based on the available information, </w:t>
      </w:r>
      <w:r w:rsidR="00ED783C" w:rsidRPr="00ED783C">
        <w:rPr>
          <w:rFonts w:asciiTheme="minorHAnsi" w:hAnsiTheme="minorHAnsi" w:cstheme="minorHAnsi"/>
          <w:color w:val="auto"/>
          <w:sz w:val="22"/>
          <w:szCs w:val="22"/>
        </w:rPr>
        <w:t xml:space="preserve">it is recommended that the draft conditions reflect the </w:t>
      </w:r>
      <w:r w:rsidR="00456E6F">
        <w:rPr>
          <w:rFonts w:asciiTheme="minorHAnsi" w:hAnsiTheme="minorHAnsi" w:cstheme="minorHAnsi"/>
          <w:color w:val="auto"/>
          <w:sz w:val="22"/>
          <w:szCs w:val="22"/>
        </w:rPr>
        <w:t>recommendations</w:t>
      </w:r>
      <w:r w:rsidR="00ED783C" w:rsidRPr="00ED783C">
        <w:rPr>
          <w:rFonts w:asciiTheme="minorHAnsi" w:hAnsiTheme="minorHAnsi" w:cstheme="minorHAnsi"/>
          <w:color w:val="auto"/>
          <w:sz w:val="22"/>
          <w:szCs w:val="22"/>
        </w:rPr>
        <w:t xml:space="preserve"> of Barnson in its </w:t>
      </w:r>
      <w:r w:rsidR="00ED783C" w:rsidRPr="00ED783C">
        <w:rPr>
          <w:rFonts w:asciiTheme="minorHAnsi" w:hAnsiTheme="minorHAnsi" w:cstheme="minorHAnsi"/>
          <w:sz w:val="22"/>
          <w:szCs w:val="22"/>
        </w:rPr>
        <w:t>preliminary site contamination assessment</w:t>
      </w:r>
      <w:r w:rsidR="00ED783C" w:rsidRPr="00ED783C">
        <w:rPr>
          <w:rFonts w:asciiTheme="minorHAnsi" w:hAnsiTheme="minorHAnsi" w:cstheme="minorHAnsi"/>
          <w:color w:val="auto"/>
          <w:sz w:val="22"/>
          <w:szCs w:val="22"/>
        </w:rPr>
        <w:t>.</w:t>
      </w:r>
      <w:r w:rsidR="00247E8D">
        <w:rPr>
          <w:rFonts w:asciiTheme="minorHAnsi" w:hAnsiTheme="minorHAnsi" w:cstheme="minorHAnsi"/>
          <w:color w:val="auto"/>
          <w:sz w:val="22"/>
          <w:szCs w:val="22"/>
        </w:rPr>
        <w:t xml:space="preserve"> </w:t>
      </w:r>
    </w:p>
    <w:p w14:paraId="6A46148F" w14:textId="77777777" w:rsidR="0051452A" w:rsidRDefault="0051452A" w:rsidP="00387C3F">
      <w:pPr>
        <w:pStyle w:val="Default"/>
        <w:rPr>
          <w:rFonts w:asciiTheme="minorHAnsi" w:hAnsiTheme="minorHAnsi" w:cstheme="minorHAnsi"/>
          <w:color w:val="auto"/>
          <w:sz w:val="22"/>
          <w:szCs w:val="22"/>
        </w:rPr>
      </w:pPr>
    </w:p>
    <w:p w14:paraId="1D8FA857" w14:textId="77777777" w:rsidR="0051452A" w:rsidRDefault="0051452A" w:rsidP="0051452A">
      <w:pPr>
        <w:pStyle w:val="BodyText"/>
      </w:pPr>
      <w:r w:rsidRPr="00B62066">
        <w:t xml:space="preserve">A search of the NSW EPA Contaminated Land Register on </w:t>
      </w:r>
      <w:r>
        <w:t>6 April</w:t>
      </w:r>
      <w:r w:rsidRPr="00B62066">
        <w:t xml:space="preserve"> 202</w:t>
      </w:r>
      <w:r>
        <w:t>2</w:t>
      </w:r>
      <w:r w:rsidRPr="00B62066">
        <w:t xml:space="preserve"> did not identify any contaminated lands within the Central Darling Shire.</w:t>
      </w:r>
    </w:p>
    <w:p w14:paraId="2B39C4C8" w14:textId="77777777" w:rsidR="00456E6F" w:rsidRDefault="00456E6F" w:rsidP="0051452A">
      <w:pPr>
        <w:pStyle w:val="BodyText"/>
      </w:pPr>
    </w:p>
    <w:p w14:paraId="623F08D1" w14:textId="77777777" w:rsidR="00456E6F" w:rsidRDefault="00456E6F" w:rsidP="0051452A">
      <w:pPr>
        <w:pStyle w:val="BodyText"/>
      </w:pPr>
    </w:p>
    <w:p w14:paraId="274223CD" w14:textId="77777777" w:rsidR="005C0019" w:rsidRPr="002C7507" w:rsidRDefault="005C0019" w:rsidP="003860D4">
      <w:pPr>
        <w:pStyle w:val="BodyText"/>
        <w:numPr>
          <w:ilvl w:val="5"/>
          <w:numId w:val="6"/>
        </w:numPr>
        <w:ind w:left="567" w:hanging="567"/>
        <w:rPr>
          <w:b/>
        </w:rPr>
      </w:pPr>
      <w:r w:rsidRPr="002C7507">
        <w:rPr>
          <w:b/>
        </w:rPr>
        <w:lastRenderedPageBreak/>
        <w:t>Central Darling Local Environmental Plan 2012</w:t>
      </w:r>
    </w:p>
    <w:p w14:paraId="2F643C33" w14:textId="77777777" w:rsidR="005C0019" w:rsidRDefault="005C0019" w:rsidP="006B2AFE">
      <w:pPr>
        <w:pStyle w:val="BodyText"/>
      </w:pPr>
      <w:r>
        <w:t xml:space="preserve">The land is </w:t>
      </w:r>
      <w:r w:rsidRPr="002B2D0C">
        <w:rPr>
          <w:b/>
          <w:u w:val="single"/>
        </w:rPr>
        <w:t>not</w:t>
      </w:r>
      <w:r>
        <w:t xml:space="preserve"> subject to principle development standards relating to:</w:t>
      </w:r>
    </w:p>
    <w:p w14:paraId="33664A5E" w14:textId="77777777" w:rsidR="005C0019" w:rsidRDefault="005C0019" w:rsidP="003860D4">
      <w:pPr>
        <w:pStyle w:val="BodyText"/>
        <w:numPr>
          <w:ilvl w:val="0"/>
          <w:numId w:val="18"/>
        </w:numPr>
      </w:pPr>
      <w:r>
        <w:t>Height</w:t>
      </w:r>
    </w:p>
    <w:p w14:paraId="763FC9D1" w14:textId="77777777" w:rsidR="005C0019" w:rsidRDefault="005C0019" w:rsidP="003860D4">
      <w:pPr>
        <w:pStyle w:val="BodyText"/>
        <w:numPr>
          <w:ilvl w:val="0"/>
          <w:numId w:val="18"/>
        </w:numPr>
      </w:pPr>
      <w:r>
        <w:t>FSR</w:t>
      </w:r>
    </w:p>
    <w:p w14:paraId="082E56AF" w14:textId="77777777" w:rsidR="005C0019" w:rsidRDefault="005C0019" w:rsidP="003860D4">
      <w:pPr>
        <w:pStyle w:val="BodyText"/>
        <w:numPr>
          <w:ilvl w:val="0"/>
          <w:numId w:val="18"/>
        </w:numPr>
      </w:pPr>
      <w:r>
        <w:t>Foreshore building line</w:t>
      </w:r>
    </w:p>
    <w:p w14:paraId="74C01F82" w14:textId="77777777" w:rsidR="005C0019" w:rsidRDefault="00630E1A" w:rsidP="006B2AFE">
      <w:pPr>
        <w:pStyle w:val="BodyText"/>
      </w:pPr>
      <w:r w:rsidRPr="00630E1A">
        <w:rPr>
          <w:noProof/>
        </w:rPr>
        <w:drawing>
          <wp:inline distT="0" distB="0" distL="0" distR="0" wp14:anchorId="13A10FF2" wp14:editId="24ED73E8">
            <wp:extent cx="4218683" cy="29379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31228" cy="2946669"/>
                    </a:xfrm>
                    <a:prstGeom prst="rect">
                      <a:avLst/>
                    </a:prstGeom>
                  </pic:spPr>
                </pic:pic>
              </a:graphicData>
            </a:graphic>
          </wp:inline>
        </w:drawing>
      </w:r>
    </w:p>
    <w:p w14:paraId="0985B750" w14:textId="77777777" w:rsidR="00201E9B" w:rsidRDefault="00201E9B" w:rsidP="005C307A">
      <w:pPr>
        <w:pStyle w:val="BodyText"/>
      </w:pPr>
      <w:r>
        <w:t xml:space="preserve">The following clauses of the LEP </w:t>
      </w:r>
      <w:r w:rsidR="006670C2">
        <w:t>are of particular relevan</w:t>
      </w:r>
      <w:r w:rsidR="00247E8D">
        <w:t>ce</w:t>
      </w:r>
      <w:r w:rsidR="006670C2">
        <w:t xml:space="preserve"> to the assessment of this proposal</w:t>
      </w:r>
      <w:r>
        <w:t>:</w:t>
      </w:r>
    </w:p>
    <w:p w14:paraId="69D63FEB" w14:textId="77777777" w:rsidR="006670C2" w:rsidRPr="006670C2" w:rsidRDefault="006670C2" w:rsidP="006670C2">
      <w:pPr>
        <w:spacing w:after="120" w:line="276" w:lineRule="auto"/>
        <w:rPr>
          <w:rFonts w:eastAsiaTheme="minorHAnsi"/>
          <w:b/>
          <w:i/>
          <w:lang w:eastAsia="en-US"/>
        </w:rPr>
      </w:pPr>
      <w:r w:rsidRPr="006670C2">
        <w:rPr>
          <w:rFonts w:eastAsiaTheme="minorHAnsi"/>
          <w:b/>
          <w:i/>
          <w:lang w:eastAsia="en-US"/>
        </w:rPr>
        <w:t>1.2   Aims of Plan</w:t>
      </w:r>
    </w:p>
    <w:p w14:paraId="5B5EFBA0" w14:textId="77777777" w:rsidR="006670C2" w:rsidRPr="006670C2" w:rsidRDefault="006670C2" w:rsidP="006670C2">
      <w:pPr>
        <w:spacing w:after="120" w:line="276" w:lineRule="auto"/>
        <w:ind w:left="720" w:hanging="720"/>
        <w:rPr>
          <w:rFonts w:eastAsiaTheme="minorHAnsi"/>
          <w:i/>
          <w:lang w:eastAsia="en-US"/>
        </w:rPr>
      </w:pPr>
      <w:r w:rsidRPr="006670C2">
        <w:rPr>
          <w:rFonts w:eastAsiaTheme="minorHAnsi"/>
          <w:i/>
          <w:lang w:eastAsia="en-US"/>
        </w:rPr>
        <w:t xml:space="preserve">(1)  </w:t>
      </w:r>
      <w:r w:rsidRPr="006670C2">
        <w:rPr>
          <w:rFonts w:eastAsiaTheme="minorHAnsi"/>
          <w:i/>
          <w:lang w:eastAsia="en-US"/>
        </w:rPr>
        <w:tab/>
        <w:t>This Plan aims to make local environmental planning provisions for land in Central Darling in accordance with the relevant standard environmental planning instrument under section 3.20 of the Act.</w:t>
      </w:r>
    </w:p>
    <w:p w14:paraId="65E8207C" w14:textId="77777777" w:rsidR="006670C2" w:rsidRPr="006670C2" w:rsidRDefault="006670C2" w:rsidP="006670C2">
      <w:pPr>
        <w:spacing w:after="120" w:line="276" w:lineRule="auto"/>
        <w:rPr>
          <w:rFonts w:eastAsiaTheme="minorHAnsi"/>
          <w:i/>
          <w:lang w:eastAsia="en-US"/>
        </w:rPr>
      </w:pPr>
      <w:r w:rsidRPr="006670C2">
        <w:rPr>
          <w:rFonts w:eastAsiaTheme="minorHAnsi"/>
          <w:i/>
          <w:lang w:eastAsia="en-US"/>
        </w:rPr>
        <w:t xml:space="preserve">(2)  </w:t>
      </w:r>
      <w:r w:rsidRPr="006670C2">
        <w:rPr>
          <w:rFonts w:eastAsiaTheme="minorHAnsi"/>
          <w:i/>
          <w:lang w:eastAsia="en-US"/>
        </w:rPr>
        <w:tab/>
        <w:t>The particular aims of this Plan are as follows—</w:t>
      </w:r>
    </w:p>
    <w:p w14:paraId="15331C73" w14:textId="77777777" w:rsidR="006670C2" w:rsidRPr="006670C2" w:rsidRDefault="006670C2" w:rsidP="006670C2">
      <w:pPr>
        <w:spacing w:after="120" w:line="276" w:lineRule="auto"/>
        <w:ind w:left="720" w:hanging="720"/>
        <w:rPr>
          <w:rFonts w:eastAsiaTheme="minorHAnsi"/>
          <w:i/>
          <w:lang w:eastAsia="en-US"/>
        </w:rPr>
      </w:pPr>
      <w:r w:rsidRPr="006670C2">
        <w:rPr>
          <w:rFonts w:eastAsiaTheme="minorHAnsi"/>
          <w:i/>
          <w:lang w:eastAsia="en-US"/>
        </w:rPr>
        <w:t xml:space="preserve">(aa)  </w:t>
      </w:r>
      <w:r w:rsidRPr="006670C2">
        <w:rPr>
          <w:rFonts w:eastAsiaTheme="minorHAnsi"/>
          <w:i/>
          <w:lang w:eastAsia="en-US"/>
        </w:rPr>
        <w:tab/>
        <w:t>to protect and promote the use and development of land for arts and cultural activity, including music and other performance arts,</w:t>
      </w:r>
    </w:p>
    <w:p w14:paraId="64D734BA" w14:textId="77777777" w:rsidR="006670C2" w:rsidRPr="006670C2" w:rsidRDefault="006670C2" w:rsidP="006670C2">
      <w:pPr>
        <w:spacing w:after="120" w:line="276" w:lineRule="auto"/>
        <w:ind w:left="720" w:hanging="720"/>
        <w:rPr>
          <w:rFonts w:eastAsiaTheme="minorHAnsi"/>
          <w:i/>
          <w:lang w:eastAsia="en-US"/>
        </w:rPr>
      </w:pPr>
      <w:r w:rsidRPr="006670C2">
        <w:rPr>
          <w:rFonts w:eastAsiaTheme="minorHAnsi"/>
          <w:i/>
          <w:lang w:eastAsia="en-US"/>
        </w:rPr>
        <w:t xml:space="preserve">(a)  </w:t>
      </w:r>
      <w:r w:rsidRPr="006670C2">
        <w:rPr>
          <w:rFonts w:eastAsiaTheme="minorHAnsi"/>
          <w:i/>
          <w:lang w:eastAsia="en-US"/>
        </w:rPr>
        <w:tab/>
        <w:t xml:space="preserve">to encourage the proper management of the natural and human-made resources of Central Darling by </w:t>
      </w:r>
      <w:bookmarkStart w:id="3" w:name="_Hlk105494814"/>
      <w:r w:rsidRPr="006670C2">
        <w:rPr>
          <w:rFonts w:eastAsiaTheme="minorHAnsi"/>
          <w:i/>
          <w:lang w:eastAsia="en-US"/>
        </w:rPr>
        <w:t>protecting, enhancing or conserving</w:t>
      </w:r>
      <w:bookmarkEnd w:id="3"/>
      <w:r w:rsidRPr="006670C2">
        <w:rPr>
          <w:rFonts w:eastAsiaTheme="minorHAnsi"/>
          <w:i/>
          <w:lang w:eastAsia="en-US"/>
        </w:rPr>
        <w:t>—</w:t>
      </w:r>
    </w:p>
    <w:p w14:paraId="2F0EB251" w14:textId="77777777" w:rsidR="006670C2" w:rsidRPr="006670C2" w:rsidRDefault="006670C2" w:rsidP="006670C2">
      <w:pPr>
        <w:spacing w:after="120" w:line="276" w:lineRule="auto"/>
        <w:ind w:firstLine="720"/>
        <w:rPr>
          <w:rFonts w:eastAsiaTheme="minorHAnsi"/>
          <w:i/>
          <w:lang w:eastAsia="en-US"/>
        </w:rPr>
      </w:pPr>
      <w:r w:rsidRPr="006670C2">
        <w:rPr>
          <w:rFonts w:eastAsiaTheme="minorHAnsi"/>
          <w:i/>
          <w:lang w:eastAsia="en-US"/>
        </w:rPr>
        <w:t>(i)  productive agricultural land, and</w:t>
      </w:r>
    </w:p>
    <w:p w14:paraId="61DB92BC" w14:textId="77777777" w:rsidR="006670C2" w:rsidRPr="006670C2" w:rsidRDefault="006670C2" w:rsidP="006670C2">
      <w:pPr>
        <w:spacing w:after="120" w:line="276" w:lineRule="auto"/>
        <w:ind w:firstLine="720"/>
        <w:rPr>
          <w:rFonts w:eastAsiaTheme="minorHAnsi"/>
          <w:i/>
          <w:lang w:eastAsia="en-US"/>
        </w:rPr>
      </w:pPr>
      <w:r w:rsidRPr="006670C2">
        <w:rPr>
          <w:rFonts w:eastAsiaTheme="minorHAnsi"/>
          <w:i/>
          <w:lang w:eastAsia="en-US"/>
        </w:rPr>
        <w:t>(ii)  timber, minerals, soil, water and other natural resources, and</w:t>
      </w:r>
    </w:p>
    <w:p w14:paraId="3F9910D0" w14:textId="77777777" w:rsidR="006670C2" w:rsidRPr="006670C2" w:rsidRDefault="006670C2" w:rsidP="006670C2">
      <w:pPr>
        <w:spacing w:after="120" w:line="276" w:lineRule="auto"/>
        <w:ind w:firstLine="720"/>
        <w:rPr>
          <w:rFonts w:eastAsiaTheme="minorHAnsi"/>
          <w:i/>
          <w:lang w:eastAsia="en-US"/>
        </w:rPr>
      </w:pPr>
      <w:r w:rsidRPr="006670C2">
        <w:rPr>
          <w:rFonts w:eastAsiaTheme="minorHAnsi"/>
          <w:i/>
          <w:lang w:eastAsia="en-US"/>
        </w:rPr>
        <w:t>(iii)  areas of significance for nature conservation, and</w:t>
      </w:r>
    </w:p>
    <w:p w14:paraId="6E26BF38" w14:textId="77777777" w:rsidR="006670C2" w:rsidRPr="006670C2" w:rsidRDefault="006670C2" w:rsidP="006670C2">
      <w:pPr>
        <w:spacing w:after="120" w:line="276" w:lineRule="auto"/>
        <w:ind w:firstLine="720"/>
        <w:rPr>
          <w:rFonts w:eastAsiaTheme="minorHAnsi"/>
          <w:i/>
          <w:lang w:eastAsia="en-US"/>
        </w:rPr>
      </w:pPr>
      <w:r w:rsidRPr="006670C2">
        <w:rPr>
          <w:rFonts w:eastAsiaTheme="minorHAnsi"/>
          <w:i/>
          <w:lang w:eastAsia="en-US"/>
        </w:rPr>
        <w:t>(iv)  areas of high scenic or recreational value, and</w:t>
      </w:r>
    </w:p>
    <w:p w14:paraId="5F82C85E" w14:textId="77777777" w:rsidR="006670C2" w:rsidRPr="006670C2" w:rsidRDefault="006670C2" w:rsidP="006670C2">
      <w:pPr>
        <w:spacing w:after="120" w:line="276" w:lineRule="auto"/>
        <w:ind w:firstLine="720"/>
        <w:rPr>
          <w:rFonts w:eastAsiaTheme="minorHAnsi"/>
          <w:i/>
          <w:lang w:eastAsia="en-US"/>
        </w:rPr>
      </w:pPr>
      <w:r w:rsidRPr="006670C2">
        <w:rPr>
          <w:rFonts w:eastAsiaTheme="minorHAnsi"/>
          <w:i/>
          <w:lang w:eastAsia="en-US"/>
        </w:rPr>
        <w:t>(v)  places and buildings of archaeological or heritage significance,</w:t>
      </w:r>
    </w:p>
    <w:p w14:paraId="374DB642" w14:textId="77777777" w:rsidR="006670C2" w:rsidRPr="006670C2" w:rsidRDefault="006670C2" w:rsidP="006670C2">
      <w:pPr>
        <w:spacing w:after="120" w:line="276" w:lineRule="auto"/>
        <w:rPr>
          <w:rFonts w:eastAsiaTheme="minorHAnsi"/>
          <w:i/>
          <w:lang w:eastAsia="en-US"/>
        </w:rPr>
      </w:pPr>
      <w:r w:rsidRPr="006670C2">
        <w:rPr>
          <w:rFonts w:eastAsiaTheme="minorHAnsi"/>
          <w:i/>
          <w:lang w:eastAsia="en-US"/>
        </w:rPr>
        <w:t xml:space="preserve">(b)  </w:t>
      </w:r>
      <w:r w:rsidRPr="006670C2">
        <w:rPr>
          <w:rFonts w:eastAsiaTheme="minorHAnsi"/>
          <w:i/>
          <w:lang w:eastAsia="en-US"/>
        </w:rPr>
        <w:tab/>
        <w:t>to promote ecologically sustainable urban and rural development,</w:t>
      </w:r>
    </w:p>
    <w:p w14:paraId="3B55E256" w14:textId="77777777" w:rsidR="006670C2" w:rsidRPr="006670C2" w:rsidRDefault="006670C2" w:rsidP="006670C2">
      <w:pPr>
        <w:spacing w:after="120" w:line="276" w:lineRule="auto"/>
        <w:ind w:left="720" w:hanging="720"/>
        <w:rPr>
          <w:rFonts w:eastAsiaTheme="minorHAnsi"/>
          <w:i/>
          <w:lang w:eastAsia="en-US"/>
        </w:rPr>
      </w:pPr>
      <w:r w:rsidRPr="006670C2">
        <w:rPr>
          <w:rFonts w:eastAsiaTheme="minorHAnsi"/>
          <w:i/>
          <w:lang w:eastAsia="en-US"/>
        </w:rPr>
        <w:t xml:space="preserve">(c)  </w:t>
      </w:r>
      <w:r w:rsidRPr="006670C2">
        <w:rPr>
          <w:rFonts w:eastAsiaTheme="minorHAnsi"/>
          <w:i/>
          <w:lang w:eastAsia="en-US"/>
        </w:rPr>
        <w:tab/>
        <w:t>to provide a secure future for agriculture by expanding Central Darling’s economic base and minimising the loss or fragmentation of productive agricultural land,</w:t>
      </w:r>
    </w:p>
    <w:p w14:paraId="68D8C758" w14:textId="77777777" w:rsidR="006670C2" w:rsidRPr="006670C2" w:rsidRDefault="006670C2" w:rsidP="006670C2">
      <w:pPr>
        <w:spacing w:after="120" w:line="276" w:lineRule="auto"/>
        <w:rPr>
          <w:rFonts w:eastAsiaTheme="minorHAnsi"/>
          <w:i/>
          <w:lang w:eastAsia="en-US"/>
        </w:rPr>
      </w:pPr>
      <w:r w:rsidRPr="006670C2">
        <w:rPr>
          <w:rFonts w:eastAsiaTheme="minorHAnsi"/>
          <w:i/>
          <w:lang w:eastAsia="en-US"/>
        </w:rPr>
        <w:t xml:space="preserve">(d)  </w:t>
      </w:r>
      <w:r w:rsidRPr="006670C2">
        <w:rPr>
          <w:rFonts w:eastAsiaTheme="minorHAnsi"/>
          <w:i/>
          <w:lang w:eastAsia="en-US"/>
        </w:rPr>
        <w:tab/>
        <w:t>to minimise land use conflict,</w:t>
      </w:r>
    </w:p>
    <w:p w14:paraId="5F646D75" w14:textId="77777777" w:rsidR="006670C2" w:rsidRPr="006670C2" w:rsidRDefault="006670C2" w:rsidP="006670C2">
      <w:pPr>
        <w:spacing w:after="120" w:line="276" w:lineRule="auto"/>
        <w:rPr>
          <w:rFonts w:eastAsiaTheme="minorHAnsi"/>
          <w:i/>
          <w:lang w:eastAsia="en-US"/>
        </w:rPr>
      </w:pPr>
      <w:r w:rsidRPr="006670C2">
        <w:rPr>
          <w:rFonts w:eastAsiaTheme="minorHAnsi"/>
          <w:i/>
          <w:lang w:eastAsia="en-US"/>
        </w:rPr>
        <w:t xml:space="preserve">(e)  </w:t>
      </w:r>
      <w:r w:rsidRPr="006670C2">
        <w:rPr>
          <w:rFonts w:eastAsiaTheme="minorHAnsi"/>
          <w:i/>
          <w:lang w:eastAsia="en-US"/>
        </w:rPr>
        <w:tab/>
      </w:r>
      <w:bookmarkStart w:id="4" w:name="_Hlk105494960"/>
      <w:r w:rsidRPr="006670C2">
        <w:rPr>
          <w:rFonts w:eastAsiaTheme="minorHAnsi"/>
          <w:i/>
          <w:lang w:eastAsia="en-US"/>
        </w:rPr>
        <w:t>to ensure that development has regard to the capability of the land</w:t>
      </w:r>
      <w:bookmarkEnd w:id="4"/>
      <w:r w:rsidRPr="006670C2">
        <w:rPr>
          <w:rFonts w:eastAsiaTheme="minorHAnsi"/>
          <w:i/>
          <w:lang w:eastAsia="en-US"/>
        </w:rPr>
        <w:t>,</w:t>
      </w:r>
    </w:p>
    <w:p w14:paraId="2AC81053" w14:textId="77777777" w:rsidR="006670C2" w:rsidRPr="006670C2" w:rsidRDefault="006670C2" w:rsidP="006670C2">
      <w:pPr>
        <w:spacing w:after="120" w:line="276" w:lineRule="auto"/>
        <w:rPr>
          <w:rFonts w:eastAsiaTheme="minorHAnsi"/>
          <w:i/>
          <w:lang w:eastAsia="en-US"/>
        </w:rPr>
      </w:pPr>
      <w:r w:rsidRPr="006670C2">
        <w:rPr>
          <w:rFonts w:eastAsiaTheme="minorHAnsi"/>
          <w:i/>
          <w:lang w:eastAsia="en-US"/>
        </w:rPr>
        <w:lastRenderedPageBreak/>
        <w:t xml:space="preserve">(f)  </w:t>
      </w:r>
      <w:r w:rsidRPr="006670C2">
        <w:rPr>
          <w:rFonts w:eastAsiaTheme="minorHAnsi"/>
          <w:i/>
          <w:lang w:eastAsia="en-US"/>
        </w:rPr>
        <w:tab/>
        <w:t>to provide a choice of living opportunities and types of settlement within Central Darling,</w:t>
      </w:r>
    </w:p>
    <w:p w14:paraId="58270C6E" w14:textId="77777777" w:rsidR="006670C2" w:rsidRPr="006670C2" w:rsidRDefault="006670C2" w:rsidP="006670C2">
      <w:pPr>
        <w:spacing w:after="120" w:line="276" w:lineRule="auto"/>
        <w:ind w:left="720" w:hanging="720"/>
        <w:rPr>
          <w:rFonts w:eastAsiaTheme="minorHAnsi"/>
          <w:i/>
          <w:lang w:eastAsia="en-US"/>
        </w:rPr>
      </w:pPr>
      <w:r w:rsidRPr="006670C2">
        <w:rPr>
          <w:rFonts w:eastAsiaTheme="minorHAnsi"/>
          <w:i/>
          <w:lang w:eastAsia="en-US"/>
        </w:rPr>
        <w:t xml:space="preserve">(g)  </w:t>
      </w:r>
      <w:r w:rsidRPr="006670C2">
        <w:rPr>
          <w:rFonts w:eastAsiaTheme="minorHAnsi"/>
          <w:i/>
          <w:lang w:eastAsia="en-US"/>
        </w:rPr>
        <w:tab/>
        <w:t>to ensure that the efficiency of arterial roads is not adversely affected by development on adjacent land.</w:t>
      </w:r>
    </w:p>
    <w:p w14:paraId="6D14AE5A" w14:textId="77777777" w:rsidR="00201E9B" w:rsidRPr="006670C2" w:rsidRDefault="006670C2" w:rsidP="005C307A">
      <w:pPr>
        <w:pStyle w:val="BodyText"/>
        <w:rPr>
          <w:b/>
        </w:rPr>
      </w:pPr>
      <w:r w:rsidRPr="00661A4F">
        <w:rPr>
          <w:b/>
          <w:u w:val="single"/>
        </w:rPr>
        <w:t>Comment</w:t>
      </w:r>
      <w:r w:rsidRPr="006670C2">
        <w:rPr>
          <w:b/>
        </w:rPr>
        <w:t>:</w:t>
      </w:r>
    </w:p>
    <w:p w14:paraId="4D719D18" w14:textId="77777777" w:rsidR="006670C2" w:rsidRDefault="000C6459" w:rsidP="005C307A">
      <w:pPr>
        <w:pStyle w:val="BodyText"/>
      </w:pPr>
      <w:r>
        <w:t>These aims are the underpinning principles upon which assessment of development in the Central Darling Shire Council local government area is conducted. We make the following conclusions against the relevant aims:</w:t>
      </w:r>
    </w:p>
    <w:p w14:paraId="1AA478DD" w14:textId="77777777" w:rsidR="000C6459" w:rsidRDefault="000C6459" w:rsidP="003860D4">
      <w:pPr>
        <w:pStyle w:val="BodyText"/>
        <w:numPr>
          <w:ilvl w:val="0"/>
          <w:numId w:val="25"/>
        </w:numPr>
        <w:rPr>
          <w:i/>
        </w:rPr>
      </w:pPr>
      <w:r w:rsidRPr="000C6459">
        <w:rPr>
          <w:i/>
        </w:rPr>
        <w:t xml:space="preserve">to protect and promote the use and development of land for cultural activity </w:t>
      </w:r>
    </w:p>
    <w:p w14:paraId="32BD7347" w14:textId="77777777" w:rsidR="000C6459" w:rsidRDefault="000C6459" w:rsidP="005C307A">
      <w:pPr>
        <w:pStyle w:val="BodyText"/>
      </w:pPr>
      <w:r>
        <w:t xml:space="preserve">The design of the proposal reflects the profound spiritual importance of the Darling River to the Aboriginal people. The </w:t>
      </w:r>
      <w:r w:rsidR="00970BDE">
        <w:t xml:space="preserve">community </w:t>
      </w:r>
      <w:r>
        <w:t>gathering area</w:t>
      </w:r>
      <w:r w:rsidR="00970BDE">
        <w:t xml:space="preserve"> and each of the buildings will provide a view of the Darling River, something that has been of paramount importance in the design of the proposal.</w:t>
      </w:r>
    </w:p>
    <w:p w14:paraId="28FC3F17" w14:textId="77777777" w:rsidR="000C6459" w:rsidRDefault="000C6459" w:rsidP="003860D4">
      <w:pPr>
        <w:pStyle w:val="BodyText"/>
        <w:numPr>
          <w:ilvl w:val="0"/>
          <w:numId w:val="25"/>
        </w:numPr>
        <w:rPr>
          <w:rFonts w:eastAsiaTheme="minorHAnsi"/>
          <w:i/>
          <w:lang w:eastAsia="en-US"/>
        </w:rPr>
      </w:pPr>
      <w:r w:rsidRPr="006670C2">
        <w:rPr>
          <w:rFonts w:eastAsiaTheme="minorHAnsi"/>
          <w:i/>
          <w:lang w:eastAsia="en-US"/>
        </w:rPr>
        <w:t>protecting, enhancing or conserving</w:t>
      </w:r>
      <w:r>
        <w:rPr>
          <w:rFonts w:eastAsiaTheme="minorHAnsi"/>
          <w:i/>
          <w:lang w:eastAsia="en-US"/>
        </w:rPr>
        <w:t xml:space="preserve"> </w:t>
      </w:r>
      <w:r w:rsidRPr="006670C2">
        <w:rPr>
          <w:rFonts w:eastAsiaTheme="minorHAnsi"/>
          <w:i/>
          <w:lang w:eastAsia="en-US"/>
        </w:rPr>
        <w:t>areas of high scenic</w:t>
      </w:r>
      <w:r>
        <w:rPr>
          <w:rFonts w:eastAsiaTheme="minorHAnsi"/>
          <w:i/>
          <w:lang w:eastAsia="en-US"/>
        </w:rPr>
        <w:t xml:space="preserve"> value</w:t>
      </w:r>
    </w:p>
    <w:p w14:paraId="700D1617" w14:textId="77777777" w:rsidR="000C6459" w:rsidRPr="00970BDE" w:rsidRDefault="00970BDE" w:rsidP="005C307A">
      <w:pPr>
        <w:pStyle w:val="BodyText"/>
        <w:rPr>
          <w:rFonts w:eastAsiaTheme="minorHAnsi"/>
          <w:lang w:eastAsia="en-US"/>
        </w:rPr>
      </w:pPr>
      <w:r>
        <w:rPr>
          <w:rFonts w:eastAsiaTheme="minorHAnsi"/>
          <w:lang w:eastAsia="en-US"/>
        </w:rPr>
        <w:t xml:space="preserve">The proposal has been designed to take advantage of the site’s proximity to the Darling River and, in particular, the bend of the river where the </w:t>
      </w:r>
      <w:r w:rsidR="009955DD">
        <w:rPr>
          <w:rFonts w:eastAsiaTheme="minorHAnsi"/>
          <w:lang w:eastAsia="en-US"/>
        </w:rPr>
        <w:t>1942 constructed</w:t>
      </w:r>
      <w:r>
        <w:rPr>
          <w:rFonts w:eastAsiaTheme="minorHAnsi"/>
          <w:lang w:eastAsia="en-US"/>
        </w:rPr>
        <w:t xml:space="preserve"> (proposed to be replaced under a separate </w:t>
      </w:r>
      <w:r w:rsidR="009955DD">
        <w:rPr>
          <w:rFonts w:eastAsiaTheme="minorHAnsi"/>
          <w:lang w:eastAsia="en-US"/>
        </w:rPr>
        <w:t>proposal</w:t>
      </w:r>
      <w:r>
        <w:rPr>
          <w:rFonts w:eastAsiaTheme="minorHAnsi"/>
          <w:lang w:eastAsia="en-US"/>
        </w:rPr>
        <w:t>) weir is located</w:t>
      </w:r>
      <w:r w:rsidR="009955DD">
        <w:rPr>
          <w:rFonts w:eastAsiaTheme="minorHAnsi"/>
          <w:lang w:eastAsia="en-US"/>
        </w:rPr>
        <w:t>.</w:t>
      </w:r>
    </w:p>
    <w:p w14:paraId="41156E29" w14:textId="77777777" w:rsidR="000C6459" w:rsidRDefault="000C6459" w:rsidP="003860D4">
      <w:pPr>
        <w:pStyle w:val="BodyText"/>
        <w:numPr>
          <w:ilvl w:val="0"/>
          <w:numId w:val="25"/>
        </w:numPr>
        <w:rPr>
          <w:rFonts w:eastAsiaTheme="minorHAnsi"/>
          <w:i/>
          <w:lang w:eastAsia="en-US"/>
        </w:rPr>
      </w:pPr>
      <w:r w:rsidRPr="006670C2">
        <w:rPr>
          <w:rFonts w:eastAsiaTheme="minorHAnsi"/>
          <w:i/>
          <w:lang w:eastAsia="en-US"/>
        </w:rPr>
        <w:t>protecting, enhancing or conserving</w:t>
      </w:r>
      <w:r>
        <w:rPr>
          <w:rFonts w:eastAsiaTheme="minorHAnsi"/>
          <w:i/>
          <w:lang w:eastAsia="en-US"/>
        </w:rPr>
        <w:t xml:space="preserve"> </w:t>
      </w:r>
      <w:r w:rsidRPr="006670C2">
        <w:rPr>
          <w:rFonts w:eastAsiaTheme="minorHAnsi"/>
          <w:i/>
          <w:lang w:eastAsia="en-US"/>
        </w:rPr>
        <w:t>buildings of archaeological or heritage significance</w:t>
      </w:r>
    </w:p>
    <w:p w14:paraId="6E2FF3D5" w14:textId="77777777" w:rsidR="000C6459" w:rsidRDefault="009955DD" w:rsidP="005C307A">
      <w:pPr>
        <w:pStyle w:val="BodyText"/>
        <w:rPr>
          <w:rFonts w:eastAsiaTheme="minorHAnsi"/>
          <w:lang w:eastAsia="en-US"/>
        </w:rPr>
      </w:pPr>
      <w:r>
        <w:rPr>
          <w:rFonts w:eastAsiaTheme="minorHAnsi"/>
          <w:lang w:eastAsia="en-US"/>
        </w:rPr>
        <w:t>Our conclusions are that the proposed development will not compromise the significance of nearby items of European heritage significance.</w:t>
      </w:r>
    </w:p>
    <w:p w14:paraId="40AA2385" w14:textId="77777777" w:rsidR="009955DD" w:rsidRPr="009955DD" w:rsidRDefault="009955DD" w:rsidP="005C307A">
      <w:pPr>
        <w:pStyle w:val="BodyText"/>
        <w:rPr>
          <w:rFonts w:eastAsiaTheme="minorHAnsi"/>
          <w:lang w:eastAsia="en-US"/>
        </w:rPr>
      </w:pPr>
      <w:r>
        <w:rPr>
          <w:rFonts w:eastAsiaTheme="minorHAnsi"/>
          <w:lang w:eastAsia="en-US"/>
        </w:rPr>
        <w:t xml:space="preserve">In terms of Aboriginal history, some further research will need to be undertaken by the applicant (as recommended in the </w:t>
      </w:r>
      <w:r>
        <w:t xml:space="preserve">Aboriginal Due Diligence Assessment prepared by Eco Logical Australia and dated 21 April, 2021). This is discussed in more detail in Section </w:t>
      </w:r>
      <w:r w:rsidR="00456E6F">
        <w:t>5.4</w:t>
      </w:r>
      <w:r>
        <w:t xml:space="preserve"> of this report.</w:t>
      </w:r>
    </w:p>
    <w:p w14:paraId="5A2189F2" w14:textId="77777777" w:rsidR="000C6459" w:rsidRPr="000C6459" w:rsidRDefault="000C6459" w:rsidP="003860D4">
      <w:pPr>
        <w:pStyle w:val="ListParagraph"/>
        <w:numPr>
          <w:ilvl w:val="0"/>
          <w:numId w:val="25"/>
        </w:numPr>
        <w:spacing w:after="120" w:line="276" w:lineRule="auto"/>
        <w:rPr>
          <w:rFonts w:eastAsiaTheme="minorHAnsi"/>
          <w:i/>
          <w:lang w:eastAsia="en-US"/>
        </w:rPr>
      </w:pPr>
      <w:r w:rsidRPr="000C6459">
        <w:rPr>
          <w:rFonts w:eastAsiaTheme="minorHAnsi"/>
          <w:i/>
          <w:lang w:eastAsia="en-US"/>
        </w:rPr>
        <w:t>to promote ecologically sustainable urban and rural development</w:t>
      </w:r>
    </w:p>
    <w:p w14:paraId="53B5E094" w14:textId="77777777" w:rsidR="000C6459" w:rsidRDefault="008D4E7C" w:rsidP="000C6459">
      <w:pPr>
        <w:spacing w:after="120" w:line="276" w:lineRule="auto"/>
        <w:rPr>
          <w:rFonts w:eastAsiaTheme="minorHAnsi"/>
          <w:lang w:eastAsia="en-US"/>
        </w:rPr>
      </w:pPr>
      <w:r>
        <w:rPr>
          <w:rFonts w:eastAsiaTheme="minorHAnsi"/>
          <w:lang w:eastAsia="en-US"/>
        </w:rPr>
        <w:t>The findings of this report are that the development has been designed taking into consideration ecologically sustainable principles. Examples of this include the use of solar panels, respect for the Darling River, access to the river, minimal excavation and earthworks, water efficient fixtures and the planting of native and endemic plants throughout the site.</w:t>
      </w:r>
    </w:p>
    <w:p w14:paraId="03757B8A" w14:textId="77777777" w:rsidR="000C6459" w:rsidRPr="000C6459" w:rsidRDefault="000C6459" w:rsidP="003860D4">
      <w:pPr>
        <w:pStyle w:val="ListParagraph"/>
        <w:numPr>
          <w:ilvl w:val="0"/>
          <w:numId w:val="25"/>
        </w:numPr>
        <w:spacing w:after="120" w:line="276" w:lineRule="auto"/>
        <w:rPr>
          <w:rFonts w:eastAsiaTheme="minorHAnsi"/>
          <w:i/>
          <w:lang w:eastAsia="en-US"/>
        </w:rPr>
      </w:pPr>
      <w:r w:rsidRPr="000C6459">
        <w:rPr>
          <w:rFonts w:eastAsiaTheme="minorHAnsi"/>
          <w:i/>
          <w:lang w:eastAsia="en-US"/>
        </w:rPr>
        <w:t>to minimise land use conflict</w:t>
      </w:r>
    </w:p>
    <w:p w14:paraId="4D111494" w14:textId="77777777" w:rsidR="000C6459" w:rsidRPr="00661A4F" w:rsidRDefault="00661A4F" w:rsidP="000C6459">
      <w:pPr>
        <w:spacing w:after="120" w:line="276" w:lineRule="auto"/>
        <w:rPr>
          <w:rFonts w:eastAsiaTheme="minorHAnsi"/>
          <w:lang w:eastAsia="en-US"/>
        </w:rPr>
      </w:pPr>
      <w:r>
        <w:rPr>
          <w:rFonts w:eastAsiaTheme="minorHAnsi"/>
          <w:lang w:eastAsia="en-US"/>
        </w:rPr>
        <w:t>The use of the site for a non-residential purpose is unlikely to unreasonably affect the amenity of the residential area, noting that other non-residential land uses are also located in the vicinity of the site. The nature of the proposed use and sufficient management safeguards and recommended conditions of consent should ensure that this remains the case.</w:t>
      </w:r>
    </w:p>
    <w:p w14:paraId="234F5B7E" w14:textId="77777777" w:rsidR="000C6459" w:rsidRDefault="000C6459" w:rsidP="003860D4">
      <w:pPr>
        <w:pStyle w:val="BodyText"/>
        <w:numPr>
          <w:ilvl w:val="0"/>
          <w:numId w:val="25"/>
        </w:numPr>
        <w:rPr>
          <w:rFonts w:eastAsiaTheme="minorHAnsi"/>
          <w:i/>
          <w:lang w:eastAsia="en-US"/>
        </w:rPr>
      </w:pPr>
      <w:r w:rsidRPr="006670C2">
        <w:rPr>
          <w:rFonts w:eastAsiaTheme="minorHAnsi"/>
          <w:i/>
          <w:lang w:eastAsia="en-US"/>
        </w:rPr>
        <w:t>to ensure that development has regard to the capability of the land</w:t>
      </w:r>
    </w:p>
    <w:p w14:paraId="3675AF90" w14:textId="77777777" w:rsidR="00661A4F" w:rsidRPr="00661A4F" w:rsidRDefault="00661A4F" w:rsidP="005C307A">
      <w:pPr>
        <w:pStyle w:val="BodyText"/>
        <w:rPr>
          <w:rFonts w:eastAsiaTheme="minorHAnsi"/>
          <w:lang w:eastAsia="en-US"/>
        </w:rPr>
      </w:pPr>
      <w:r>
        <w:rPr>
          <w:rFonts w:eastAsiaTheme="minorHAnsi"/>
          <w:lang w:eastAsia="en-US"/>
        </w:rPr>
        <w:t xml:space="preserve">The proposal </w:t>
      </w:r>
      <w:r w:rsidRPr="00661A4F">
        <w:rPr>
          <w:rFonts w:eastAsiaTheme="minorHAnsi"/>
          <w:lang w:eastAsia="en-US"/>
        </w:rPr>
        <w:t>promote</w:t>
      </w:r>
      <w:r>
        <w:rPr>
          <w:rFonts w:eastAsiaTheme="minorHAnsi"/>
          <w:lang w:eastAsia="en-US"/>
        </w:rPr>
        <w:t>s</w:t>
      </w:r>
      <w:r w:rsidRPr="00661A4F">
        <w:rPr>
          <w:rFonts w:eastAsiaTheme="minorHAnsi"/>
          <w:lang w:eastAsia="en-US"/>
        </w:rPr>
        <w:t xml:space="preserve"> the efficient use of land, do</w:t>
      </w:r>
      <w:r>
        <w:rPr>
          <w:rFonts w:eastAsiaTheme="minorHAnsi"/>
          <w:lang w:eastAsia="en-US"/>
        </w:rPr>
        <w:t>es</w:t>
      </w:r>
      <w:r w:rsidRPr="00661A4F">
        <w:rPr>
          <w:rFonts w:eastAsiaTheme="minorHAnsi"/>
          <w:lang w:eastAsia="en-US"/>
        </w:rPr>
        <w:t xml:space="preserve"> not prevent </w:t>
      </w:r>
      <w:r>
        <w:rPr>
          <w:rFonts w:eastAsiaTheme="minorHAnsi"/>
          <w:lang w:eastAsia="en-US"/>
        </w:rPr>
        <w:t xml:space="preserve">its </w:t>
      </w:r>
      <w:r w:rsidRPr="00661A4F">
        <w:rPr>
          <w:rFonts w:eastAsiaTheme="minorHAnsi"/>
          <w:lang w:eastAsia="en-US"/>
        </w:rPr>
        <w:t>orderly development, provide</w:t>
      </w:r>
      <w:r>
        <w:rPr>
          <w:rFonts w:eastAsiaTheme="minorHAnsi"/>
          <w:lang w:eastAsia="en-US"/>
        </w:rPr>
        <w:t>s</w:t>
      </w:r>
      <w:r w:rsidRPr="00661A4F">
        <w:rPr>
          <w:rFonts w:eastAsiaTheme="minorHAnsi"/>
          <w:lang w:eastAsia="en-US"/>
        </w:rPr>
        <w:t xml:space="preserve"> an </w:t>
      </w:r>
      <w:r>
        <w:rPr>
          <w:rFonts w:eastAsiaTheme="minorHAnsi"/>
          <w:lang w:eastAsia="en-US"/>
        </w:rPr>
        <w:t>attractive and modern</w:t>
      </w:r>
      <w:r w:rsidRPr="00661A4F">
        <w:rPr>
          <w:rFonts w:eastAsiaTheme="minorHAnsi"/>
          <w:lang w:eastAsia="en-US"/>
        </w:rPr>
        <w:t xml:space="preserve"> street frontage and </w:t>
      </w:r>
      <w:r>
        <w:rPr>
          <w:rFonts w:eastAsiaTheme="minorHAnsi"/>
          <w:lang w:eastAsia="en-US"/>
        </w:rPr>
        <w:t>is of a scale and bulk</w:t>
      </w:r>
      <w:r w:rsidRPr="00661A4F">
        <w:rPr>
          <w:rFonts w:eastAsiaTheme="minorHAnsi"/>
          <w:lang w:eastAsia="en-US"/>
        </w:rPr>
        <w:t xml:space="preserve"> within the environmental capability of the site; that is, the proposal meets the objectives of the </w:t>
      </w:r>
      <w:r>
        <w:rPr>
          <w:rFonts w:eastAsiaTheme="minorHAnsi"/>
          <w:lang w:eastAsia="en-US"/>
        </w:rPr>
        <w:t>LEP and the zone within which it is located</w:t>
      </w:r>
      <w:r w:rsidRPr="00661A4F">
        <w:rPr>
          <w:rFonts w:eastAsiaTheme="minorHAnsi"/>
          <w:lang w:eastAsia="en-US"/>
        </w:rPr>
        <w:t>.</w:t>
      </w:r>
    </w:p>
    <w:p w14:paraId="5BDD0964" w14:textId="77777777" w:rsidR="006670C2" w:rsidRPr="006670C2" w:rsidRDefault="006670C2" w:rsidP="006670C2">
      <w:pPr>
        <w:pStyle w:val="BodyText"/>
        <w:rPr>
          <w:i/>
        </w:rPr>
      </w:pPr>
      <w:r w:rsidRPr="006670C2">
        <w:rPr>
          <w:b/>
          <w:bCs/>
        </w:rPr>
        <w:t>2</w:t>
      </w:r>
      <w:r w:rsidRPr="006670C2">
        <w:rPr>
          <w:b/>
          <w:bCs/>
          <w:i/>
        </w:rPr>
        <w:t>.6</w:t>
      </w:r>
      <w:r w:rsidRPr="006670C2">
        <w:rPr>
          <w:i/>
        </w:rPr>
        <w:t>   </w:t>
      </w:r>
      <w:r w:rsidRPr="006670C2">
        <w:rPr>
          <w:b/>
          <w:bCs/>
          <w:i/>
        </w:rPr>
        <w:t>Subdivision—consent requirements</w:t>
      </w:r>
    </w:p>
    <w:p w14:paraId="49BE389D" w14:textId="77777777" w:rsidR="006670C2" w:rsidRPr="006670C2" w:rsidRDefault="006670C2" w:rsidP="006670C2">
      <w:pPr>
        <w:pStyle w:val="BodyText"/>
        <w:rPr>
          <w:i/>
        </w:rPr>
      </w:pPr>
      <w:r w:rsidRPr="006670C2">
        <w:rPr>
          <w:i/>
        </w:rPr>
        <w:t>(1)  Land to which this Plan applies may be subdivided, but only with development consent.</w:t>
      </w:r>
    </w:p>
    <w:p w14:paraId="218EBF78" w14:textId="77777777" w:rsidR="006670C2" w:rsidRPr="006670C2" w:rsidRDefault="006670C2" w:rsidP="005C307A">
      <w:pPr>
        <w:pStyle w:val="BodyText"/>
        <w:rPr>
          <w:b/>
        </w:rPr>
      </w:pPr>
      <w:r w:rsidRPr="00661A4F">
        <w:rPr>
          <w:b/>
          <w:u w:val="single"/>
        </w:rPr>
        <w:t>Comment</w:t>
      </w:r>
      <w:r w:rsidRPr="006670C2">
        <w:rPr>
          <w:b/>
        </w:rPr>
        <w:t>:</w:t>
      </w:r>
    </w:p>
    <w:p w14:paraId="7C542FAA" w14:textId="77777777" w:rsidR="006670C2" w:rsidRDefault="006670C2" w:rsidP="005C307A">
      <w:pPr>
        <w:pStyle w:val="BodyText"/>
      </w:pPr>
      <w:r>
        <w:t>Consolidation of the land forms part of this development application</w:t>
      </w:r>
      <w:r w:rsidR="002B2D0C">
        <w:t>.</w:t>
      </w:r>
    </w:p>
    <w:p w14:paraId="44B57B21" w14:textId="77777777" w:rsidR="00456E6F" w:rsidRDefault="00456E6F" w:rsidP="005C307A">
      <w:pPr>
        <w:pStyle w:val="BodyText"/>
      </w:pPr>
    </w:p>
    <w:p w14:paraId="014169E6" w14:textId="77777777" w:rsidR="00456E6F" w:rsidRPr="00456E6F" w:rsidRDefault="00456E6F" w:rsidP="005C307A">
      <w:pPr>
        <w:pStyle w:val="BodyText"/>
        <w:rPr>
          <w:b/>
        </w:rPr>
      </w:pPr>
      <w:r w:rsidRPr="00456E6F">
        <w:rPr>
          <w:b/>
        </w:rPr>
        <w:lastRenderedPageBreak/>
        <w:t>Land use table</w:t>
      </w:r>
    </w:p>
    <w:p w14:paraId="458845EA" w14:textId="77777777" w:rsidR="0028186F" w:rsidRDefault="00EE4384" w:rsidP="005C307A">
      <w:pPr>
        <w:pStyle w:val="BodyText"/>
      </w:pPr>
      <w:r>
        <w:t>A health services facility is permitted in the R1 General Residential zone. In addition, the provision of a car park on the land comprising the unformed road reserve of Bonney Street is also development permitted with consent. Road construction may take place without consent.</w:t>
      </w:r>
    </w:p>
    <w:p w14:paraId="17EF060B" w14:textId="77777777" w:rsidR="0051452A" w:rsidRDefault="0051452A" w:rsidP="005C307A">
      <w:pPr>
        <w:pStyle w:val="BodyText"/>
        <w:rPr>
          <w:color w:val="FF0000"/>
        </w:rPr>
      </w:pPr>
      <w:r>
        <w:t xml:space="preserve">The only aspect of this development that it depicted on the plans as being on land zoned W1 – Natural Waterways is a </w:t>
      </w:r>
      <w:r w:rsidRPr="00456E6F">
        <w:t xml:space="preserve">pathway at the southern part of the site, from the proposed community gathering/lookout area, entering the W1 zoned land on the slopes/bank of the Darling River. Works beyond the boundary of that part of the site (Lot 111 in DP 1201028) in this location enter Crown Land. The applicant will need to contact the NSW Department of Planning, Industry &amp; Environment – Crown Lands (Western Lands Advisory Committee) before any works occur in that location. The legalities of non-tidal water as a boundary are complex and it is noted that the Deposited Plan (DP1201028) has not been investigated by the Registrar General. No objection is raised to this access per se, but the legalities of it in terms of ownership shall be further investigated and cannot form part of this development application. </w:t>
      </w:r>
    </w:p>
    <w:p w14:paraId="47C77F61" w14:textId="77777777" w:rsidR="0051452A" w:rsidRDefault="0051452A" w:rsidP="005C307A">
      <w:pPr>
        <w:pStyle w:val="BodyText"/>
      </w:pPr>
      <w:r>
        <w:t>If this matter can be resolved separately, no objection is raised to a s4.55(1A) application being lodged at a later date for the consideration of Central Darling Shire Council under delegated authority. It is recommended that a condition to this effect be included in the draft recommended development consent conditions.</w:t>
      </w:r>
    </w:p>
    <w:p w14:paraId="4B6E8C98" w14:textId="77777777" w:rsidR="0028186F" w:rsidRPr="00E92FB8" w:rsidRDefault="0028186F" w:rsidP="0028186F">
      <w:pPr>
        <w:pStyle w:val="BodyText"/>
        <w:rPr>
          <w:b/>
          <w:bCs/>
          <w:i/>
        </w:rPr>
      </w:pPr>
      <w:r w:rsidRPr="00E92FB8">
        <w:rPr>
          <w:b/>
          <w:bCs/>
          <w:i/>
        </w:rPr>
        <w:t>Part 4 Principal development standards</w:t>
      </w:r>
    </w:p>
    <w:p w14:paraId="6B1493AF" w14:textId="77777777" w:rsidR="0028186F" w:rsidRPr="00E92FB8" w:rsidRDefault="0028186F" w:rsidP="0028186F">
      <w:pPr>
        <w:pStyle w:val="BodyText"/>
        <w:rPr>
          <w:i/>
        </w:rPr>
      </w:pPr>
      <w:r w:rsidRPr="00E92FB8">
        <w:rPr>
          <w:b/>
          <w:bCs/>
          <w:i/>
        </w:rPr>
        <w:t>4.1</w:t>
      </w:r>
      <w:r w:rsidRPr="00E92FB8">
        <w:rPr>
          <w:i/>
        </w:rPr>
        <w:t>   </w:t>
      </w:r>
      <w:r w:rsidRPr="00E92FB8">
        <w:rPr>
          <w:b/>
          <w:bCs/>
          <w:i/>
        </w:rPr>
        <w:t>Minimum subdivision lot size</w:t>
      </w:r>
    </w:p>
    <w:p w14:paraId="0F729311" w14:textId="77777777" w:rsidR="0028186F" w:rsidRDefault="0028186F" w:rsidP="0028186F">
      <w:pPr>
        <w:pStyle w:val="BodyText"/>
      </w:pPr>
      <w:r>
        <w:t>Cl4.1(3) – Minimum lot size 800m</w:t>
      </w:r>
      <w:r>
        <w:rPr>
          <w:rFonts w:cstheme="minorHAnsi"/>
        </w:rPr>
        <w:t>²</w:t>
      </w:r>
    </w:p>
    <w:p w14:paraId="3980BBA2" w14:textId="77777777" w:rsidR="0028186F" w:rsidRDefault="0028186F" w:rsidP="0028186F">
      <w:pPr>
        <w:pStyle w:val="BodyText"/>
      </w:pPr>
      <w:r w:rsidRPr="0051452A">
        <w:rPr>
          <w:b/>
          <w:u w:val="single"/>
        </w:rPr>
        <w:t>Comment</w:t>
      </w:r>
      <w:r w:rsidRPr="0028186F">
        <w:rPr>
          <w:b/>
        </w:rPr>
        <w:t>:</w:t>
      </w:r>
      <w:r>
        <w:t xml:space="preserve"> The land will be consolidated to form a lot with an area of 5,048m</w:t>
      </w:r>
      <w:r>
        <w:rPr>
          <w:rFonts w:cstheme="minorHAnsi"/>
        </w:rPr>
        <w:t>²</w:t>
      </w:r>
      <w:r>
        <w:t>.</w:t>
      </w:r>
    </w:p>
    <w:p w14:paraId="1AAB0222" w14:textId="77777777" w:rsidR="00201E9B" w:rsidRDefault="0028186F" w:rsidP="005C307A">
      <w:pPr>
        <w:pStyle w:val="BodyText"/>
      </w:pPr>
      <w:r>
        <w:t>The proposal complies with clause 4.1 of Central Darling Local Environmental Plan 2012.</w:t>
      </w:r>
    </w:p>
    <w:p w14:paraId="2D7D8262" w14:textId="77777777" w:rsidR="0028186F" w:rsidRPr="00161049" w:rsidRDefault="0028186F" w:rsidP="0028186F">
      <w:pPr>
        <w:pStyle w:val="BodyText"/>
        <w:rPr>
          <w:i/>
        </w:rPr>
      </w:pPr>
      <w:r w:rsidRPr="00161049">
        <w:rPr>
          <w:b/>
          <w:bCs/>
          <w:i/>
        </w:rPr>
        <w:t>5.2</w:t>
      </w:r>
      <w:r w:rsidRPr="00161049">
        <w:rPr>
          <w:i/>
        </w:rPr>
        <w:t>   </w:t>
      </w:r>
      <w:r w:rsidRPr="00161049">
        <w:rPr>
          <w:b/>
          <w:bCs/>
          <w:i/>
        </w:rPr>
        <w:t>Classification and reclassification of public land</w:t>
      </w:r>
    </w:p>
    <w:p w14:paraId="42FFADA3" w14:textId="77777777" w:rsidR="0028186F" w:rsidRPr="00161049" w:rsidRDefault="0028186F" w:rsidP="0028186F">
      <w:pPr>
        <w:pStyle w:val="BodyText"/>
        <w:rPr>
          <w:i/>
        </w:rPr>
      </w:pPr>
      <w:r w:rsidRPr="00161049">
        <w:rPr>
          <w:i/>
        </w:rPr>
        <w:t>(1)  The objective of this clause is to enable the Council to classify or reclassify public land as “operational land” or “community land” in accordance with Part 2 of Chapter 6 of the Local Government Act 1993</w:t>
      </w:r>
    </w:p>
    <w:p w14:paraId="65B51D5B" w14:textId="77777777" w:rsidR="0028186F" w:rsidRPr="00161049" w:rsidRDefault="0028186F" w:rsidP="0028186F">
      <w:pPr>
        <w:pStyle w:val="BodyText"/>
        <w:rPr>
          <w:i/>
        </w:rPr>
      </w:pPr>
      <w:r w:rsidRPr="00161049">
        <w:rPr>
          <w:b/>
          <w:bCs/>
          <w:i/>
        </w:rPr>
        <w:t>Note—</w:t>
      </w:r>
    </w:p>
    <w:p w14:paraId="70340F69" w14:textId="77777777" w:rsidR="0028186F" w:rsidRPr="00161049" w:rsidRDefault="0028186F" w:rsidP="0028186F">
      <w:pPr>
        <w:pStyle w:val="BodyText"/>
        <w:rPr>
          <w:i/>
        </w:rPr>
      </w:pPr>
      <w:r w:rsidRPr="00161049">
        <w:rPr>
          <w:i/>
        </w:rPr>
        <w:t>Under the </w:t>
      </w:r>
      <w:r w:rsidR="00161049" w:rsidRPr="00161049">
        <w:rPr>
          <w:i/>
        </w:rPr>
        <w:t>Local Government Act 1993</w:t>
      </w:r>
      <w:r w:rsidRPr="00161049">
        <w:rPr>
          <w:i/>
        </w:rPr>
        <w:t>, “public land” is generally land vested in or under the control of a council (other than roads and certain Crown land). The classification or reclassification of public land may also be made by a resolution of the Council under section 31, 32 or 33 of the </w:t>
      </w:r>
      <w:r w:rsidR="00161049" w:rsidRPr="00161049">
        <w:rPr>
          <w:i/>
        </w:rPr>
        <w:t>Local Government Act 1993</w:t>
      </w:r>
      <w:r w:rsidRPr="00161049">
        <w:rPr>
          <w:i/>
        </w:rPr>
        <w:t>. Section 30 of that Act enables this Plan to discharge trusts on which public reserves are held if the land is reclassified under this Plan as operational land.</w:t>
      </w:r>
    </w:p>
    <w:p w14:paraId="184029CE" w14:textId="77777777" w:rsidR="0028186F" w:rsidRPr="00161049" w:rsidRDefault="0028186F" w:rsidP="0028186F">
      <w:pPr>
        <w:pStyle w:val="BodyText"/>
        <w:rPr>
          <w:i/>
        </w:rPr>
      </w:pPr>
      <w:r w:rsidRPr="00161049">
        <w:rPr>
          <w:i/>
        </w:rPr>
        <w:t>(2)  The public land described in Part 1 or Part 2 of Schedule 4 is classified, or reclassified, as operational land for the purposes of the </w:t>
      </w:r>
      <w:r w:rsidR="00161049" w:rsidRPr="00161049">
        <w:rPr>
          <w:i/>
        </w:rPr>
        <w:t>Local Government Act 1993</w:t>
      </w:r>
      <w:r w:rsidRPr="00161049">
        <w:rPr>
          <w:i/>
        </w:rPr>
        <w:t>.</w:t>
      </w:r>
    </w:p>
    <w:p w14:paraId="709084A5" w14:textId="77777777" w:rsidR="0028186F" w:rsidRPr="0028186F" w:rsidRDefault="00161049" w:rsidP="0028186F">
      <w:pPr>
        <w:pStyle w:val="BodyText"/>
      </w:pPr>
      <w:r>
        <w:t>……</w:t>
      </w:r>
    </w:p>
    <w:p w14:paraId="733DB2B6" w14:textId="77777777" w:rsidR="0028186F" w:rsidRPr="00161049" w:rsidRDefault="0028186F" w:rsidP="0028186F">
      <w:pPr>
        <w:pStyle w:val="BodyText"/>
        <w:rPr>
          <w:i/>
        </w:rPr>
      </w:pPr>
      <w:r w:rsidRPr="00161049">
        <w:rPr>
          <w:i/>
        </w:rPr>
        <w:t>(4)  The public land described in Part 1 of Schedule 4—</w:t>
      </w:r>
    </w:p>
    <w:p w14:paraId="20FDEB3A" w14:textId="77777777" w:rsidR="0028186F" w:rsidRPr="00161049" w:rsidRDefault="0028186F" w:rsidP="0028186F">
      <w:pPr>
        <w:pStyle w:val="BodyText"/>
        <w:rPr>
          <w:i/>
        </w:rPr>
      </w:pPr>
      <w:r w:rsidRPr="00161049">
        <w:rPr>
          <w:i/>
        </w:rPr>
        <w:t>(a)  does not cease to be a public reserve to the extent (if any) that it is a public reserve, and</w:t>
      </w:r>
    </w:p>
    <w:p w14:paraId="4835D454" w14:textId="77777777" w:rsidR="0028186F" w:rsidRPr="00161049" w:rsidRDefault="0028186F" w:rsidP="0028186F">
      <w:pPr>
        <w:pStyle w:val="BodyText"/>
        <w:rPr>
          <w:i/>
        </w:rPr>
      </w:pPr>
      <w:r w:rsidRPr="00161049">
        <w:rPr>
          <w:i/>
        </w:rPr>
        <w:t>(b)  continues to be affected by any trusts, estates, interests, dedications, conditions, restrictions or covenants that affected the land before its classification, or reclassification, as operational land.</w:t>
      </w:r>
    </w:p>
    <w:p w14:paraId="541F8690" w14:textId="77777777" w:rsidR="0028186F" w:rsidRPr="0028186F" w:rsidRDefault="00161049" w:rsidP="0028186F">
      <w:pPr>
        <w:pStyle w:val="BodyText"/>
      </w:pPr>
      <w:r>
        <w:t>……’</w:t>
      </w:r>
    </w:p>
    <w:p w14:paraId="587A194E" w14:textId="77777777" w:rsidR="00456E6F" w:rsidRDefault="00456E6F" w:rsidP="0028186F">
      <w:pPr>
        <w:pStyle w:val="BodyText"/>
        <w:rPr>
          <w:b/>
          <w:u w:val="single"/>
        </w:rPr>
      </w:pPr>
    </w:p>
    <w:p w14:paraId="5F299AC1" w14:textId="77777777" w:rsidR="0028186F" w:rsidRPr="00161049" w:rsidRDefault="00161049" w:rsidP="0028186F">
      <w:pPr>
        <w:pStyle w:val="BodyText"/>
        <w:rPr>
          <w:b/>
        </w:rPr>
      </w:pPr>
      <w:r w:rsidRPr="003860D4">
        <w:rPr>
          <w:b/>
          <w:u w:val="single"/>
        </w:rPr>
        <w:lastRenderedPageBreak/>
        <w:t>Comment</w:t>
      </w:r>
      <w:r w:rsidRPr="00161049">
        <w:rPr>
          <w:b/>
        </w:rPr>
        <w:t>:</w:t>
      </w:r>
    </w:p>
    <w:p w14:paraId="5A22BAA6" w14:textId="77777777" w:rsidR="00161049" w:rsidRPr="00AA604B" w:rsidRDefault="00342F83" w:rsidP="0028186F">
      <w:pPr>
        <w:pStyle w:val="BodyText"/>
      </w:pPr>
      <w:r w:rsidRPr="00AA604B">
        <w:t xml:space="preserve">Central Darling Shire Council at its meeting of 20 May, 2021 </w:t>
      </w:r>
      <w:r w:rsidR="002D4E1C" w:rsidRPr="00AA604B">
        <w:t>held a public hearing into the Planning Proposal to</w:t>
      </w:r>
      <w:r w:rsidRPr="00AA604B">
        <w:t xml:space="preserve"> recla</w:t>
      </w:r>
      <w:r w:rsidR="002D4E1C" w:rsidRPr="00AA604B">
        <w:t>ss</w:t>
      </w:r>
      <w:r w:rsidRPr="00AA604B">
        <w:t>ify the land</w:t>
      </w:r>
      <w:r w:rsidR="002D4E1C" w:rsidRPr="00AA604B">
        <w:t xml:space="preserve"> from Community Land to Operational Land in order to facilitate the sale of the land to Maari Ma Aboriginal Health Corporation Pty Ltd.</w:t>
      </w:r>
    </w:p>
    <w:p w14:paraId="015F58A9" w14:textId="77777777" w:rsidR="002D4E1C" w:rsidRPr="00AA604B" w:rsidRDefault="00243DE5" w:rsidP="0028186F">
      <w:pPr>
        <w:pStyle w:val="BodyText"/>
        <w:rPr>
          <w:i/>
        </w:rPr>
      </w:pPr>
      <w:r w:rsidRPr="00AA604B">
        <w:rPr>
          <w:i/>
        </w:rPr>
        <w:t>‘</w:t>
      </w:r>
      <w:r w:rsidR="002D4E1C" w:rsidRPr="00AA604B">
        <w:rPr>
          <w:i/>
        </w:rPr>
        <w:t xml:space="preserve">It was Resolved that Council will: </w:t>
      </w:r>
    </w:p>
    <w:p w14:paraId="41D90384" w14:textId="77777777" w:rsidR="002D4E1C" w:rsidRPr="00AA604B" w:rsidRDefault="002D4E1C" w:rsidP="00243DE5">
      <w:pPr>
        <w:pStyle w:val="BodyText"/>
        <w:ind w:left="720" w:hanging="720"/>
        <w:rPr>
          <w:i/>
        </w:rPr>
      </w:pPr>
      <w:r w:rsidRPr="00AA604B">
        <w:rPr>
          <w:i/>
        </w:rPr>
        <w:t xml:space="preserve">1. </w:t>
      </w:r>
      <w:r w:rsidR="00243DE5" w:rsidRPr="00AA604B">
        <w:rPr>
          <w:i/>
        </w:rPr>
        <w:tab/>
      </w:r>
      <w:r w:rsidRPr="00AA604B">
        <w:rPr>
          <w:i/>
        </w:rPr>
        <w:t xml:space="preserve">Receive and note the public hearing report and submissions from the public hearing held on 28 April 2021. </w:t>
      </w:r>
    </w:p>
    <w:p w14:paraId="3D68BAAB" w14:textId="77777777" w:rsidR="00243DE5" w:rsidRPr="00AA604B" w:rsidRDefault="002D4E1C" w:rsidP="00243DE5">
      <w:pPr>
        <w:pStyle w:val="BodyText"/>
        <w:ind w:left="720" w:hanging="720"/>
        <w:rPr>
          <w:i/>
        </w:rPr>
      </w:pPr>
      <w:r w:rsidRPr="00AA604B">
        <w:rPr>
          <w:i/>
        </w:rPr>
        <w:t xml:space="preserve">2. </w:t>
      </w:r>
      <w:r w:rsidR="00243DE5" w:rsidRPr="00AA604B">
        <w:rPr>
          <w:i/>
        </w:rPr>
        <w:tab/>
      </w:r>
      <w:r w:rsidRPr="00AA604B">
        <w:rPr>
          <w:i/>
        </w:rPr>
        <w:t xml:space="preserve">Note the public hearing independent chair recommendation that the community members that attended the public hearing on 28 April 2021 did not support the reclassification of the community land to operational land for Lots 2, 3 and 4 DP 1201089, and Lot 111 DP 1201028, Bonney Street Wilcannia. </w:t>
      </w:r>
    </w:p>
    <w:p w14:paraId="75CDFDA5" w14:textId="77777777" w:rsidR="00243DE5" w:rsidRPr="00AA604B" w:rsidRDefault="002D4E1C" w:rsidP="00243DE5">
      <w:pPr>
        <w:pStyle w:val="BodyText"/>
        <w:ind w:left="720" w:hanging="720"/>
        <w:rPr>
          <w:i/>
        </w:rPr>
      </w:pPr>
      <w:r w:rsidRPr="00AA604B">
        <w:rPr>
          <w:i/>
        </w:rPr>
        <w:t xml:space="preserve">3. </w:t>
      </w:r>
      <w:r w:rsidR="00243DE5" w:rsidRPr="00AA604B">
        <w:rPr>
          <w:i/>
        </w:rPr>
        <w:tab/>
      </w:r>
      <w:r w:rsidRPr="00AA604B">
        <w:rPr>
          <w:i/>
        </w:rPr>
        <w:t xml:space="preserve">Note that a combined 17 written and verbal submissions were received during the two exhibition periods with all submissions taken into account. </w:t>
      </w:r>
    </w:p>
    <w:p w14:paraId="7A88A6BD" w14:textId="77777777" w:rsidR="00243DE5" w:rsidRPr="00AA604B" w:rsidRDefault="002D4E1C" w:rsidP="00243DE5">
      <w:pPr>
        <w:pStyle w:val="BodyText"/>
        <w:ind w:left="720" w:hanging="720"/>
        <w:rPr>
          <w:i/>
        </w:rPr>
      </w:pPr>
      <w:r w:rsidRPr="00AA604B">
        <w:rPr>
          <w:i/>
        </w:rPr>
        <w:t xml:space="preserve">4. </w:t>
      </w:r>
      <w:r w:rsidR="00243DE5" w:rsidRPr="00AA604B">
        <w:rPr>
          <w:i/>
        </w:rPr>
        <w:tab/>
      </w:r>
      <w:r w:rsidRPr="00AA604B">
        <w:rPr>
          <w:i/>
        </w:rPr>
        <w:t xml:space="preserve">Note that more than 10 verbal submissions and one written submission opposing the reclassification were received during the public hearing on 28 April 2021. </w:t>
      </w:r>
    </w:p>
    <w:p w14:paraId="67718DFA" w14:textId="77777777" w:rsidR="00243DE5" w:rsidRPr="00AA604B" w:rsidRDefault="002D4E1C" w:rsidP="00243DE5">
      <w:pPr>
        <w:pStyle w:val="BodyText"/>
        <w:ind w:left="720" w:hanging="720"/>
        <w:rPr>
          <w:i/>
        </w:rPr>
      </w:pPr>
      <w:r w:rsidRPr="00AA604B">
        <w:rPr>
          <w:i/>
        </w:rPr>
        <w:t xml:space="preserve">5. </w:t>
      </w:r>
      <w:r w:rsidR="00243DE5" w:rsidRPr="00AA604B">
        <w:rPr>
          <w:i/>
        </w:rPr>
        <w:tab/>
      </w:r>
      <w:r w:rsidRPr="00AA604B">
        <w:rPr>
          <w:i/>
        </w:rPr>
        <w:t xml:space="preserve">Note that 20 written submissions were received on 13 May 2021 supporting the planning proposal to reclassify the land from community land to operational land to enable the building of the Maari Ma community health facility. </w:t>
      </w:r>
    </w:p>
    <w:p w14:paraId="0A60B0A0" w14:textId="77777777" w:rsidR="00243DE5" w:rsidRPr="00AA604B" w:rsidRDefault="002D4E1C" w:rsidP="0028186F">
      <w:pPr>
        <w:pStyle w:val="BodyText"/>
        <w:rPr>
          <w:i/>
        </w:rPr>
      </w:pPr>
      <w:r w:rsidRPr="00AA604B">
        <w:rPr>
          <w:i/>
        </w:rPr>
        <w:t xml:space="preserve">6. </w:t>
      </w:r>
      <w:r w:rsidR="00243DE5" w:rsidRPr="00AA604B">
        <w:rPr>
          <w:i/>
        </w:rPr>
        <w:tab/>
      </w:r>
      <w:r w:rsidRPr="00AA604B">
        <w:rPr>
          <w:i/>
        </w:rPr>
        <w:t xml:space="preserve">Support the reclassification of the subject land from Community to Operational land. </w:t>
      </w:r>
    </w:p>
    <w:p w14:paraId="3A64A6D1" w14:textId="77777777" w:rsidR="002D4E1C" w:rsidRPr="00AA604B" w:rsidRDefault="002D4E1C" w:rsidP="00243DE5">
      <w:pPr>
        <w:pStyle w:val="BodyText"/>
        <w:ind w:left="720" w:hanging="720"/>
        <w:rPr>
          <w:i/>
        </w:rPr>
      </w:pPr>
      <w:r w:rsidRPr="00AA604B">
        <w:rPr>
          <w:i/>
        </w:rPr>
        <w:t xml:space="preserve">7. </w:t>
      </w:r>
      <w:r w:rsidR="00243DE5" w:rsidRPr="00AA604B">
        <w:rPr>
          <w:i/>
        </w:rPr>
        <w:tab/>
      </w:r>
      <w:r w:rsidRPr="00AA604B">
        <w:rPr>
          <w:i/>
        </w:rPr>
        <w:t>Progress the reclassification process through referring the public hearing report, Council recommendation, planning proposal to reclassify the land and the Submission Summary Report to the Department of Planning, Industry and Environment to consider making the amendment to the Central Darling Local Environmental Plan 2012.</w:t>
      </w:r>
      <w:r w:rsidR="00243DE5" w:rsidRPr="00AA604B">
        <w:rPr>
          <w:i/>
        </w:rPr>
        <w:t>’</w:t>
      </w:r>
    </w:p>
    <w:p w14:paraId="42607EB6" w14:textId="77777777" w:rsidR="00161049" w:rsidRDefault="00243DE5" w:rsidP="0028186F">
      <w:pPr>
        <w:pStyle w:val="BodyText"/>
      </w:pPr>
      <w:r>
        <w:t xml:space="preserve">The amendment to the LEP (specifically Schedule 4 of the LEP) to reclassify the land subject of this development application to Operational Land took place on 13 August, 2021. </w:t>
      </w:r>
    </w:p>
    <w:p w14:paraId="0AE9DD58" w14:textId="77777777" w:rsidR="00243DE5" w:rsidRDefault="00243DE5" w:rsidP="0028186F">
      <w:pPr>
        <w:pStyle w:val="BodyText"/>
      </w:pPr>
      <w:r>
        <w:t>Of particular relevance to this development are the comments made by the Council’s Administrator Mr Robert Stewart at the meeting, supporting the proposal in principle:</w:t>
      </w:r>
    </w:p>
    <w:p w14:paraId="48DD288C" w14:textId="77777777" w:rsidR="00243DE5" w:rsidRDefault="00243DE5" w:rsidP="00243DE5">
      <w:pPr>
        <w:pStyle w:val="BodyText"/>
        <w:ind w:left="720"/>
        <w:rPr>
          <w:i/>
        </w:rPr>
      </w:pPr>
      <w:r>
        <w:rPr>
          <w:i/>
        </w:rPr>
        <w:t>“</w:t>
      </w:r>
      <w:r w:rsidRPr="00243DE5">
        <w:rPr>
          <w:i/>
        </w:rPr>
        <w:t xml:space="preserve">Council officers in their report detail the process to where we are at today. I understand the community’s confusion and difference between the Planning Proposal to reclassify the land, the Plan of Management and the need for a lease to permit a DA to be lodged for assessment. </w:t>
      </w:r>
    </w:p>
    <w:p w14:paraId="676969CF" w14:textId="77777777" w:rsidR="00243DE5" w:rsidRDefault="00243DE5" w:rsidP="00243DE5">
      <w:pPr>
        <w:pStyle w:val="BodyText"/>
        <w:ind w:left="720"/>
        <w:rPr>
          <w:i/>
        </w:rPr>
      </w:pPr>
      <w:r w:rsidRPr="00243DE5">
        <w:rPr>
          <w:i/>
        </w:rPr>
        <w:t xml:space="preserve">The community rightly has raised concerns about: </w:t>
      </w:r>
    </w:p>
    <w:p w14:paraId="520D1A11" w14:textId="77777777" w:rsidR="00243DE5" w:rsidRDefault="00243DE5" w:rsidP="00243DE5">
      <w:pPr>
        <w:pStyle w:val="BodyText"/>
        <w:ind w:left="720"/>
        <w:rPr>
          <w:i/>
        </w:rPr>
      </w:pPr>
      <w:r w:rsidRPr="00243DE5">
        <w:rPr>
          <w:i/>
        </w:rPr>
        <w:t xml:space="preserve">1. Flooding, </w:t>
      </w:r>
    </w:p>
    <w:p w14:paraId="5BADDF48" w14:textId="77777777" w:rsidR="00243DE5" w:rsidRDefault="00243DE5" w:rsidP="00243DE5">
      <w:pPr>
        <w:pStyle w:val="BodyText"/>
        <w:ind w:left="720"/>
        <w:rPr>
          <w:i/>
        </w:rPr>
      </w:pPr>
      <w:r w:rsidRPr="00243DE5">
        <w:rPr>
          <w:i/>
        </w:rPr>
        <w:t xml:space="preserve">2. Access for viewing the river, </w:t>
      </w:r>
    </w:p>
    <w:p w14:paraId="385BB695" w14:textId="77777777" w:rsidR="00243DE5" w:rsidRDefault="00243DE5" w:rsidP="00243DE5">
      <w:pPr>
        <w:pStyle w:val="BodyText"/>
        <w:ind w:left="720"/>
        <w:rPr>
          <w:i/>
        </w:rPr>
      </w:pPr>
      <w:r w:rsidRPr="00243DE5">
        <w:rPr>
          <w:i/>
        </w:rPr>
        <w:t xml:space="preserve">3. Community </w:t>
      </w:r>
      <w:r>
        <w:rPr>
          <w:i/>
        </w:rPr>
        <w:t>b</w:t>
      </w:r>
      <w:r w:rsidRPr="00243DE5">
        <w:rPr>
          <w:i/>
        </w:rPr>
        <w:t xml:space="preserve">enefit. </w:t>
      </w:r>
    </w:p>
    <w:p w14:paraId="31783B69" w14:textId="77777777" w:rsidR="00243DE5" w:rsidRDefault="00243DE5" w:rsidP="00243DE5">
      <w:pPr>
        <w:pStyle w:val="BodyText"/>
        <w:ind w:left="720"/>
        <w:rPr>
          <w:i/>
        </w:rPr>
      </w:pPr>
      <w:r w:rsidRPr="00243DE5">
        <w:rPr>
          <w:i/>
        </w:rPr>
        <w:t xml:space="preserve">Wilcannia is built on a floodplain and any development must meet the requirements of the NSW Floodplain Development Manual 2005 and this will be addressed as part of the development application process. The site is in backwater and is not subject to high velocity mainstream flows. The building design will be accompanied by a Flood report by a Flood Engineer. </w:t>
      </w:r>
    </w:p>
    <w:p w14:paraId="6C8BF758" w14:textId="77777777" w:rsidR="00243DE5" w:rsidRDefault="00243DE5" w:rsidP="00243DE5">
      <w:pPr>
        <w:pStyle w:val="BodyText"/>
        <w:ind w:left="720"/>
        <w:rPr>
          <w:i/>
        </w:rPr>
      </w:pPr>
      <w:r w:rsidRPr="00243DE5">
        <w:rPr>
          <w:i/>
        </w:rPr>
        <w:lastRenderedPageBreak/>
        <w:t xml:space="preserve">I also note submissions about viewing the river from the site and suggest that with the construction of the new weir with its increased height and backup and the abundance of public access land along both sides of the river this is not a major issue. </w:t>
      </w:r>
    </w:p>
    <w:p w14:paraId="509CE0C1" w14:textId="77777777" w:rsidR="00243DE5" w:rsidRPr="00243DE5" w:rsidRDefault="00243DE5" w:rsidP="00243DE5">
      <w:pPr>
        <w:pStyle w:val="BodyText"/>
        <w:ind w:left="720"/>
        <w:rPr>
          <w:i/>
        </w:rPr>
      </w:pPr>
      <w:r w:rsidRPr="00243DE5">
        <w:rPr>
          <w:i/>
        </w:rPr>
        <w:t>At the end of the day, I must consider the higher long</w:t>
      </w:r>
      <w:r>
        <w:rPr>
          <w:i/>
        </w:rPr>
        <w:t>-</w:t>
      </w:r>
      <w:r w:rsidRPr="00243DE5">
        <w:rPr>
          <w:i/>
        </w:rPr>
        <w:t>term public interest in supporting the provision of medical services that this proposed development will bring to the community.</w:t>
      </w:r>
      <w:r>
        <w:rPr>
          <w:i/>
        </w:rPr>
        <w:t>”</w:t>
      </w:r>
    </w:p>
    <w:p w14:paraId="2D673AA2" w14:textId="77777777" w:rsidR="00161049" w:rsidRPr="00161049" w:rsidRDefault="00161049" w:rsidP="00161049">
      <w:pPr>
        <w:pStyle w:val="BodyText"/>
        <w:rPr>
          <w:i/>
        </w:rPr>
      </w:pPr>
      <w:r w:rsidRPr="00161049">
        <w:rPr>
          <w:b/>
          <w:bCs/>
          <w:i/>
        </w:rPr>
        <w:t>5.10</w:t>
      </w:r>
      <w:r w:rsidRPr="00161049">
        <w:rPr>
          <w:i/>
        </w:rPr>
        <w:t>   </w:t>
      </w:r>
      <w:r w:rsidRPr="00161049">
        <w:rPr>
          <w:b/>
          <w:bCs/>
          <w:i/>
        </w:rPr>
        <w:t>Heritage conservation</w:t>
      </w:r>
    </w:p>
    <w:p w14:paraId="6C412F9E" w14:textId="77777777" w:rsidR="00161049" w:rsidRPr="00161049" w:rsidRDefault="00161049" w:rsidP="00161049">
      <w:pPr>
        <w:pStyle w:val="BodyText"/>
        <w:rPr>
          <w:i/>
        </w:rPr>
      </w:pPr>
      <w:r w:rsidRPr="00161049">
        <w:rPr>
          <w:i/>
        </w:rPr>
        <w:t>(1) </w:t>
      </w:r>
      <w:r>
        <w:rPr>
          <w:i/>
        </w:rPr>
        <w:tab/>
      </w:r>
      <w:r w:rsidRPr="00161049">
        <w:rPr>
          <w:b/>
          <w:bCs/>
          <w:i/>
        </w:rPr>
        <w:t>Objectives</w:t>
      </w:r>
      <w:r w:rsidRPr="00161049">
        <w:rPr>
          <w:i/>
        </w:rPr>
        <w:t> The objectives of this clause are as follows—</w:t>
      </w:r>
    </w:p>
    <w:p w14:paraId="1BCCA747" w14:textId="77777777" w:rsidR="00161049" w:rsidRPr="00161049" w:rsidRDefault="00161049" w:rsidP="00161049">
      <w:pPr>
        <w:pStyle w:val="BodyText"/>
        <w:ind w:firstLine="720"/>
        <w:rPr>
          <w:i/>
        </w:rPr>
      </w:pPr>
      <w:r w:rsidRPr="00161049">
        <w:rPr>
          <w:i/>
        </w:rPr>
        <w:t>(a)  </w:t>
      </w:r>
      <w:r>
        <w:rPr>
          <w:i/>
        </w:rPr>
        <w:tab/>
      </w:r>
      <w:r w:rsidRPr="00161049">
        <w:rPr>
          <w:i/>
        </w:rPr>
        <w:t>to conserve the environmental heritage of Central Darling,</w:t>
      </w:r>
    </w:p>
    <w:p w14:paraId="153A1168" w14:textId="77777777" w:rsidR="00161049" w:rsidRPr="00161049" w:rsidRDefault="00161049" w:rsidP="00161049">
      <w:pPr>
        <w:pStyle w:val="BodyText"/>
        <w:ind w:left="1440" w:hanging="720"/>
        <w:rPr>
          <w:i/>
        </w:rPr>
      </w:pPr>
      <w:r w:rsidRPr="00161049">
        <w:rPr>
          <w:i/>
        </w:rPr>
        <w:t>(b)  </w:t>
      </w:r>
      <w:r>
        <w:rPr>
          <w:i/>
        </w:rPr>
        <w:tab/>
      </w:r>
      <w:r w:rsidRPr="00161049">
        <w:rPr>
          <w:i/>
        </w:rPr>
        <w:t>to conserve the heritage significance of heritage items and heritage conservation areas, including associated fabric, settings and views,</w:t>
      </w:r>
    </w:p>
    <w:p w14:paraId="6FBA889D" w14:textId="77777777" w:rsidR="00161049" w:rsidRPr="00161049" w:rsidRDefault="00161049" w:rsidP="00161049">
      <w:pPr>
        <w:pStyle w:val="BodyText"/>
        <w:ind w:firstLine="720"/>
        <w:rPr>
          <w:i/>
        </w:rPr>
      </w:pPr>
      <w:r w:rsidRPr="00161049">
        <w:rPr>
          <w:i/>
        </w:rPr>
        <w:t>(c)  </w:t>
      </w:r>
      <w:r>
        <w:rPr>
          <w:i/>
        </w:rPr>
        <w:tab/>
      </w:r>
      <w:r w:rsidRPr="00161049">
        <w:rPr>
          <w:i/>
        </w:rPr>
        <w:t>to conserve archaeological sites,</w:t>
      </w:r>
    </w:p>
    <w:p w14:paraId="6217D3F6" w14:textId="77777777" w:rsidR="00161049" w:rsidRPr="00161049" w:rsidRDefault="00161049" w:rsidP="00161049">
      <w:pPr>
        <w:pStyle w:val="BodyText"/>
        <w:ind w:firstLine="720"/>
        <w:rPr>
          <w:i/>
        </w:rPr>
      </w:pPr>
      <w:r w:rsidRPr="00161049">
        <w:rPr>
          <w:i/>
        </w:rPr>
        <w:t>(d)  </w:t>
      </w:r>
      <w:r>
        <w:rPr>
          <w:i/>
        </w:rPr>
        <w:tab/>
      </w:r>
      <w:r w:rsidRPr="00161049">
        <w:rPr>
          <w:i/>
        </w:rPr>
        <w:t>to conserve Aboriginal objects and Aboriginal places of heritage significance.</w:t>
      </w:r>
    </w:p>
    <w:p w14:paraId="472B77FB" w14:textId="77777777" w:rsidR="00161049" w:rsidRPr="00161049" w:rsidRDefault="00161049" w:rsidP="00161049">
      <w:pPr>
        <w:pStyle w:val="BodyText"/>
        <w:ind w:left="720" w:hanging="720"/>
        <w:rPr>
          <w:i/>
        </w:rPr>
      </w:pPr>
      <w:r w:rsidRPr="00161049">
        <w:rPr>
          <w:i/>
        </w:rPr>
        <w:t>(5) </w:t>
      </w:r>
      <w:r>
        <w:rPr>
          <w:i/>
        </w:rPr>
        <w:tab/>
      </w:r>
      <w:r w:rsidRPr="00161049">
        <w:rPr>
          <w:b/>
          <w:bCs/>
          <w:i/>
        </w:rPr>
        <w:t>Heritage assessment</w:t>
      </w:r>
      <w:r w:rsidRPr="00161049">
        <w:rPr>
          <w:i/>
        </w:rPr>
        <w:t> The consent authority may, before granting consent to any development—</w:t>
      </w:r>
    </w:p>
    <w:p w14:paraId="69A6BC6F" w14:textId="77777777" w:rsidR="00161049" w:rsidRPr="00161049" w:rsidRDefault="00161049" w:rsidP="00161049">
      <w:pPr>
        <w:pStyle w:val="BodyText"/>
        <w:ind w:firstLine="720"/>
        <w:rPr>
          <w:i/>
        </w:rPr>
      </w:pPr>
      <w:r w:rsidRPr="00161049">
        <w:rPr>
          <w:i/>
        </w:rPr>
        <w:t>(a)  </w:t>
      </w:r>
      <w:r>
        <w:rPr>
          <w:i/>
        </w:rPr>
        <w:tab/>
      </w:r>
      <w:r w:rsidRPr="00161049">
        <w:rPr>
          <w:i/>
        </w:rPr>
        <w:t>on land on which a heritage item is located, or</w:t>
      </w:r>
    </w:p>
    <w:p w14:paraId="3C97EFE0" w14:textId="77777777" w:rsidR="00161049" w:rsidRPr="00161049" w:rsidRDefault="00161049" w:rsidP="00161049">
      <w:pPr>
        <w:pStyle w:val="BodyText"/>
        <w:ind w:firstLine="720"/>
        <w:rPr>
          <w:i/>
        </w:rPr>
      </w:pPr>
      <w:r w:rsidRPr="00161049">
        <w:rPr>
          <w:i/>
        </w:rPr>
        <w:t>(b)  </w:t>
      </w:r>
      <w:r>
        <w:rPr>
          <w:i/>
        </w:rPr>
        <w:tab/>
      </w:r>
      <w:r w:rsidRPr="00161049">
        <w:rPr>
          <w:i/>
        </w:rPr>
        <w:t>on land that is within a heritage conservation area, or</w:t>
      </w:r>
    </w:p>
    <w:p w14:paraId="2BDA4063" w14:textId="77777777" w:rsidR="00161049" w:rsidRPr="00161049" w:rsidRDefault="00161049" w:rsidP="00161049">
      <w:pPr>
        <w:pStyle w:val="BodyText"/>
        <w:ind w:firstLine="720"/>
        <w:rPr>
          <w:i/>
        </w:rPr>
      </w:pPr>
      <w:r w:rsidRPr="00161049">
        <w:rPr>
          <w:i/>
        </w:rPr>
        <w:t>(c)  </w:t>
      </w:r>
      <w:r>
        <w:rPr>
          <w:i/>
        </w:rPr>
        <w:tab/>
      </w:r>
      <w:r w:rsidRPr="00161049">
        <w:rPr>
          <w:i/>
        </w:rPr>
        <w:t>on land that is within the vicinity of land referred to in paragraph (a) or (b),</w:t>
      </w:r>
    </w:p>
    <w:p w14:paraId="6EE4F1E6" w14:textId="77777777" w:rsidR="00161049" w:rsidRPr="00161049" w:rsidRDefault="00161049" w:rsidP="00161049">
      <w:pPr>
        <w:pStyle w:val="BodyText"/>
        <w:ind w:left="720"/>
        <w:rPr>
          <w:i/>
        </w:rPr>
      </w:pPr>
      <w:r w:rsidRPr="00161049">
        <w:rPr>
          <w:i/>
        </w:rPr>
        <w:t>require a heritage management document to be prepared that assesses the extent to which the carrying out of the proposed development would affect the heritage significance of the heritage item or heritage conservation area concerned.</w:t>
      </w:r>
    </w:p>
    <w:p w14:paraId="6020FFE3" w14:textId="77777777" w:rsidR="0028186F" w:rsidRPr="00161049" w:rsidRDefault="00161049" w:rsidP="005C307A">
      <w:pPr>
        <w:pStyle w:val="BodyText"/>
        <w:rPr>
          <w:b/>
        </w:rPr>
      </w:pPr>
      <w:r w:rsidRPr="003860D4">
        <w:rPr>
          <w:b/>
          <w:u w:val="single"/>
        </w:rPr>
        <w:t>Comment</w:t>
      </w:r>
      <w:r w:rsidRPr="00161049">
        <w:rPr>
          <w:b/>
        </w:rPr>
        <w:t>:</w:t>
      </w:r>
    </w:p>
    <w:p w14:paraId="6D0580B4" w14:textId="77777777" w:rsidR="00243DE5" w:rsidRPr="00FF254E" w:rsidRDefault="00243DE5" w:rsidP="00243DE5">
      <w:pPr>
        <w:pStyle w:val="BodyText"/>
        <w:rPr>
          <w:color w:val="FF0000"/>
        </w:rPr>
      </w:pPr>
      <w:r>
        <w:t>We consider that there is ample curtilage around the site to provide an acceptable buffer between the various buildings listed as heritage items in the vicinity such that it will not dominate, detract or compete with those heritage items. Increasing the setbacks and/or reducing the scale of the proposed buildings is considered unlikely to have any noticeable beneficial impact in terms of visual impact. The setting and views of those heritage items from the greater public domain (i.e Ross Street) will be unaffected by the proposed development.</w:t>
      </w:r>
    </w:p>
    <w:p w14:paraId="0727600C" w14:textId="77777777" w:rsidR="00161049" w:rsidRDefault="00161049" w:rsidP="00161049">
      <w:pPr>
        <w:pStyle w:val="BodyText"/>
      </w:pPr>
      <w:r w:rsidRPr="00161049">
        <w:t>In terms of the potential impact on nearby items of environmental heritage, we d</w:t>
      </w:r>
      <w:r w:rsidR="003860D4">
        <w:t>o</w:t>
      </w:r>
      <w:r w:rsidRPr="00161049">
        <w:t xml:space="preserve"> not consider that </w:t>
      </w:r>
      <w:r w:rsidR="003860D4">
        <w:t>any</w:t>
      </w:r>
      <w:r w:rsidRPr="00161049">
        <w:t xml:space="preserve"> impacts </w:t>
      </w:r>
      <w:r w:rsidR="003860D4">
        <w:t>are</w:t>
      </w:r>
      <w:r w:rsidRPr="00161049">
        <w:t xml:space="preserve"> so great that it </w:t>
      </w:r>
      <w:r w:rsidR="003860D4">
        <w:t>would be</w:t>
      </w:r>
      <w:r w:rsidRPr="00161049">
        <w:t xml:space="preserve"> necessary</w:t>
      </w:r>
      <w:r w:rsidR="00CF1DDD">
        <w:t xml:space="preserve"> to request a heritage management document.</w:t>
      </w:r>
    </w:p>
    <w:p w14:paraId="0C9C5A25" w14:textId="77777777" w:rsidR="00CF1DDD" w:rsidRPr="00CF1DDD" w:rsidRDefault="00CF1DDD" w:rsidP="00CF1DDD">
      <w:pPr>
        <w:pStyle w:val="BodyText"/>
        <w:rPr>
          <w:i/>
        </w:rPr>
      </w:pPr>
      <w:r w:rsidRPr="00CF1DDD">
        <w:rPr>
          <w:b/>
          <w:bCs/>
          <w:i/>
        </w:rPr>
        <w:t>5.21</w:t>
      </w:r>
      <w:r w:rsidRPr="00CF1DDD">
        <w:rPr>
          <w:i/>
        </w:rPr>
        <w:t>   </w:t>
      </w:r>
      <w:r w:rsidRPr="00CF1DDD">
        <w:rPr>
          <w:b/>
          <w:bCs/>
          <w:i/>
        </w:rPr>
        <w:t>Flood planning</w:t>
      </w:r>
    </w:p>
    <w:p w14:paraId="653AF03E" w14:textId="77777777" w:rsidR="00CF1DDD" w:rsidRPr="00CF1DDD" w:rsidRDefault="00CF1DDD" w:rsidP="00CF1DDD">
      <w:pPr>
        <w:pStyle w:val="BodyText"/>
        <w:rPr>
          <w:i/>
        </w:rPr>
      </w:pPr>
      <w:r w:rsidRPr="00CF1DDD">
        <w:rPr>
          <w:i/>
        </w:rPr>
        <w:t>(1)  The objectives of this clause are as follows—</w:t>
      </w:r>
    </w:p>
    <w:p w14:paraId="211F5A36" w14:textId="77777777" w:rsidR="00CF1DDD" w:rsidRPr="00CF1DDD" w:rsidRDefault="00CF1DDD" w:rsidP="00CF1DDD">
      <w:pPr>
        <w:pStyle w:val="BodyText"/>
        <w:rPr>
          <w:i/>
        </w:rPr>
      </w:pPr>
      <w:r w:rsidRPr="00CF1DDD">
        <w:rPr>
          <w:i/>
        </w:rPr>
        <w:t>(a)  to minimise the flood risk to life and property associated with the use of land,</w:t>
      </w:r>
    </w:p>
    <w:p w14:paraId="4AD47B5F" w14:textId="77777777" w:rsidR="00CF1DDD" w:rsidRPr="00CF1DDD" w:rsidRDefault="00CF1DDD" w:rsidP="00CF1DDD">
      <w:pPr>
        <w:pStyle w:val="BodyText"/>
        <w:rPr>
          <w:i/>
        </w:rPr>
      </w:pPr>
      <w:r w:rsidRPr="00CF1DDD">
        <w:rPr>
          <w:i/>
        </w:rPr>
        <w:t>(b)  to allow development on land that is compatible with the flood function and behaviour on the land, taking into account projected changes as a result of climate change,</w:t>
      </w:r>
    </w:p>
    <w:p w14:paraId="548DB65D" w14:textId="77777777" w:rsidR="00CF1DDD" w:rsidRPr="00CF1DDD" w:rsidRDefault="00CF1DDD" w:rsidP="00CF1DDD">
      <w:pPr>
        <w:pStyle w:val="BodyText"/>
        <w:rPr>
          <w:i/>
        </w:rPr>
      </w:pPr>
      <w:r w:rsidRPr="00CF1DDD">
        <w:rPr>
          <w:i/>
        </w:rPr>
        <w:t>(c)  to avoid adverse or cumulative impacts on flood behaviour and the environment,</w:t>
      </w:r>
    </w:p>
    <w:p w14:paraId="5B99F93B" w14:textId="77777777" w:rsidR="00CF1DDD" w:rsidRPr="00CF1DDD" w:rsidRDefault="00CF1DDD" w:rsidP="00CF1DDD">
      <w:pPr>
        <w:pStyle w:val="BodyText"/>
        <w:rPr>
          <w:i/>
        </w:rPr>
      </w:pPr>
      <w:r w:rsidRPr="00CF1DDD">
        <w:rPr>
          <w:i/>
        </w:rPr>
        <w:t>(d)  to enable the safe occupation and efficient evacuation of people in the event of a flood.</w:t>
      </w:r>
    </w:p>
    <w:p w14:paraId="3CFB3868" w14:textId="77777777" w:rsidR="00CF1DDD" w:rsidRPr="00CF1DDD" w:rsidRDefault="00CF1DDD" w:rsidP="00CF1DDD">
      <w:pPr>
        <w:pStyle w:val="BodyText"/>
        <w:rPr>
          <w:i/>
        </w:rPr>
      </w:pPr>
      <w:r w:rsidRPr="00CF1DDD">
        <w:rPr>
          <w:i/>
        </w:rPr>
        <w:t>(2)  Development consent must not be granted to development on land the consent authority considers to be within the flood planning area unless the consent authority is satisfied the development—</w:t>
      </w:r>
    </w:p>
    <w:p w14:paraId="0CAFBDCF" w14:textId="77777777" w:rsidR="00CF1DDD" w:rsidRPr="00CF1DDD" w:rsidRDefault="00CF1DDD" w:rsidP="00CF1DDD">
      <w:pPr>
        <w:pStyle w:val="BodyText"/>
        <w:rPr>
          <w:i/>
        </w:rPr>
      </w:pPr>
      <w:r w:rsidRPr="00CF1DDD">
        <w:rPr>
          <w:i/>
        </w:rPr>
        <w:t>(a)  is compatible with the flood function and behaviour on the land, and</w:t>
      </w:r>
    </w:p>
    <w:p w14:paraId="4D116160" w14:textId="77777777" w:rsidR="00CF1DDD" w:rsidRPr="00CF1DDD" w:rsidRDefault="00CF1DDD" w:rsidP="00CF1DDD">
      <w:pPr>
        <w:pStyle w:val="BodyText"/>
        <w:rPr>
          <w:i/>
        </w:rPr>
      </w:pPr>
      <w:r w:rsidRPr="00CF1DDD">
        <w:rPr>
          <w:i/>
        </w:rPr>
        <w:lastRenderedPageBreak/>
        <w:t>(b)  will not adversely affect flood behaviour in a way that results in detrimental increases in the potential flood affectation of other development or properties, and</w:t>
      </w:r>
    </w:p>
    <w:p w14:paraId="2ED17C0A" w14:textId="77777777" w:rsidR="00CF1DDD" w:rsidRPr="00CF1DDD" w:rsidRDefault="00CF1DDD" w:rsidP="00CF1DDD">
      <w:pPr>
        <w:pStyle w:val="BodyText"/>
        <w:rPr>
          <w:i/>
        </w:rPr>
      </w:pPr>
      <w:r w:rsidRPr="00CF1DDD">
        <w:rPr>
          <w:i/>
        </w:rPr>
        <w:t>(c)  will not adversely affect the safe occupation and efficient evacuation of people or exceed the capacity of existing evacuation routes for the surrounding area in the event of a flood, and</w:t>
      </w:r>
    </w:p>
    <w:p w14:paraId="35904F25" w14:textId="77777777" w:rsidR="00CF1DDD" w:rsidRPr="00CF1DDD" w:rsidRDefault="00CF1DDD" w:rsidP="00CF1DDD">
      <w:pPr>
        <w:pStyle w:val="BodyText"/>
        <w:rPr>
          <w:i/>
        </w:rPr>
      </w:pPr>
      <w:r w:rsidRPr="00CF1DDD">
        <w:rPr>
          <w:i/>
        </w:rPr>
        <w:t>(d)  incorporates appropriate measures to manage risk to life in the event of a flood, and</w:t>
      </w:r>
    </w:p>
    <w:p w14:paraId="7C390B2A" w14:textId="77777777" w:rsidR="00CF1DDD" w:rsidRPr="00CF1DDD" w:rsidRDefault="00CF1DDD" w:rsidP="00CF1DDD">
      <w:pPr>
        <w:pStyle w:val="BodyText"/>
        <w:rPr>
          <w:i/>
        </w:rPr>
      </w:pPr>
      <w:r w:rsidRPr="00CF1DDD">
        <w:rPr>
          <w:i/>
        </w:rPr>
        <w:t>(e)  will not adversely affect the environment or cause avoidable erosion, siltation, destruction of riparian vegetation or a reduction in the stability of river banks or watercourses.</w:t>
      </w:r>
    </w:p>
    <w:p w14:paraId="336E4A76" w14:textId="77777777" w:rsidR="00CF1DDD" w:rsidRPr="00CF1DDD" w:rsidRDefault="00CF1DDD" w:rsidP="00CF1DDD">
      <w:pPr>
        <w:pStyle w:val="BodyText"/>
        <w:rPr>
          <w:i/>
        </w:rPr>
      </w:pPr>
      <w:r w:rsidRPr="00CF1DDD">
        <w:rPr>
          <w:i/>
        </w:rPr>
        <w:t>(3)  In deciding whether to grant development consent on land to which this clause applies, the consent authority must consider the following matters—</w:t>
      </w:r>
    </w:p>
    <w:p w14:paraId="292B629E" w14:textId="77777777" w:rsidR="00CF1DDD" w:rsidRPr="00CF1DDD" w:rsidRDefault="00CF1DDD" w:rsidP="00CF1DDD">
      <w:pPr>
        <w:pStyle w:val="BodyText"/>
        <w:rPr>
          <w:i/>
        </w:rPr>
      </w:pPr>
      <w:r w:rsidRPr="00CF1DDD">
        <w:rPr>
          <w:i/>
        </w:rPr>
        <w:t>(a)  the impact of the development on projected changes to flood behaviour as a result of climate change,</w:t>
      </w:r>
    </w:p>
    <w:p w14:paraId="00730166" w14:textId="77777777" w:rsidR="00CF1DDD" w:rsidRPr="00CF1DDD" w:rsidRDefault="00CF1DDD" w:rsidP="00CF1DDD">
      <w:pPr>
        <w:pStyle w:val="BodyText"/>
        <w:rPr>
          <w:i/>
        </w:rPr>
      </w:pPr>
      <w:r w:rsidRPr="00CF1DDD">
        <w:rPr>
          <w:i/>
        </w:rPr>
        <w:t>(b)  the intended design and scale of buildings resulting from the development,</w:t>
      </w:r>
    </w:p>
    <w:p w14:paraId="570949CB" w14:textId="77777777" w:rsidR="00CF1DDD" w:rsidRPr="00CF1DDD" w:rsidRDefault="00CF1DDD" w:rsidP="00CF1DDD">
      <w:pPr>
        <w:pStyle w:val="BodyText"/>
        <w:rPr>
          <w:i/>
        </w:rPr>
      </w:pPr>
      <w:r w:rsidRPr="00CF1DDD">
        <w:rPr>
          <w:i/>
        </w:rPr>
        <w:t>(c)  whether the development incorporates measures to minimise the risk to life and ensure the safe evacuation of people in the event of a flood,</w:t>
      </w:r>
    </w:p>
    <w:p w14:paraId="1A60E33E" w14:textId="77777777" w:rsidR="00CF1DDD" w:rsidRPr="00CF1DDD" w:rsidRDefault="00CF1DDD" w:rsidP="00CF1DDD">
      <w:pPr>
        <w:pStyle w:val="BodyText"/>
        <w:rPr>
          <w:i/>
        </w:rPr>
      </w:pPr>
      <w:r w:rsidRPr="00CF1DDD">
        <w:rPr>
          <w:i/>
        </w:rPr>
        <w:t>(d)  the potential to modify, relocate or remove buildings resulting from development if the surrounding area is impacted by flooding or coastal erosion.</w:t>
      </w:r>
    </w:p>
    <w:p w14:paraId="11FA6F15" w14:textId="77777777" w:rsidR="00CF1DDD" w:rsidRPr="00CF1DDD" w:rsidRDefault="00CF1DDD" w:rsidP="00CF1DDD">
      <w:pPr>
        <w:pStyle w:val="BodyText"/>
        <w:rPr>
          <w:i/>
        </w:rPr>
      </w:pPr>
      <w:r w:rsidRPr="00CF1DDD">
        <w:rPr>
          <w:i/>
        </w:rPr>
        <w:t>(4)  A word or expression used in this clause has the same meaning as it has in the Considering Flooding in Land Use Planning Guideline unless it is otherwise defined in this clause.</w:t>
      </w:r>
    </w:p>
    <w:p w14:paraId="4F843CE3" w14:textId="77777777" w:rsidR="00CF1DDD" w:rsidRPr="00CF1DDD" w:rsidRDefault="00CF1DDD" w:rsidP="00CF1DDD">
      <w:pPr>
        <w:pStyle w:val="BodyText"/>
        <w:rPr>
          <w:i/>
        </w:rPr>
      </w:pPr>
      <w:r w:rsidRPr="00CF1DDD">
        <w:rPr>
          <w:i/>
        </w:rPr>
        <w:t>(5)  In this clause—</w:t>
      </w:r>
    </w:p>
    <w:p w14:paraId="1F20BC84" w14:textId="77777777" w:rsidR="00CF1DDD" w:rsidRPr="00CF1DDD" w:rsidRDefault="00CF1DDD" w:rsidP="00CF1DDD">
      <w:pPr>
        <w:pStyle w:val="BodyText"/>
        <w:rPr>
          <w:i/>
        </w:rPr>
      </w:pPr>
      <w:r w:rsidRPr="00CF1DDD">
        <w:rPr>
          <w:b/>
          <w:bCs/>
          <w:i/>
          <w:iCs/>
        </w:rPr>
        <w:t>Considering Flooding in Land Use Planning Guideline</w:t>
      </w:r>
      <w:r w:rsidRPr="00CF1DDD">
        <w:rPr>
          <w:i/>
        </w:rPr>
        <w:t> means the </w:t>
      </w:r>
      <w:r w:rsidRPr="00CF1DDD">
        <w:rPr>
          <w:i/>
          <w:iCs/>
        </w:rPr>
        <w:t>Considering Flooding in Land Use Planning Guideline</w:t>
      </w:r>
      <w:r w:rsidRPr="00CF1DDD">
        <w:rPr>
          <w:i/>
        </w:rPr>
        <w:t> published on the Department’s website on 14 July 2021.</w:t>
      </w:r>
    </w:p>
    <w:p w14:paraId="45ECC495" w14:textId="77777777" w:rsidR="00CF1DDD" w:rsidRPr="00CF1DDD" w:rsidRDefault="00CF1DDD" w:rsidP="00CF1DDD">
      <w:pPr>
        <w:pStyle w:val="BodyText"/>
        <w:rPr>
          <w:i/>
        </w:rPr>
      </w:pPr>
      <w:r w:rsidRPr="00CF1DDD">
        <w:rPr>
          <w:b/>
          <w:bCs/>
          <w:i/>
          <w:iCs/>
        </w:rPr>
        <w:t>flood planning area</w:t>
      </w:r>
      <w:r w:rsidRPr="00CF1DDD">
        <w:rPr>
          <w:i/>
        </w:rPr>
        <w:t> has the same meaning as it has in the Floodplain Development Manual.</w:t>
      </w:r>
    </w:p>
    <w:p w14:paraId="273E5D8D" w14:textId="77777777" w:rsidR="00CF1DDD" w:rsidRPr="00CF1DDD" w:rsidRDefault="00CF1DDD" w:rsidP="00CF1DDD">
      <w:pPr>
        <w:pStyle w:val="BodyText"/>
        <w:rPr>
          <w:i/>
        </w:rPr>
      </w:pPr>
      <w:r w:rsidRPr="00CF1DDD">
        <w:rPr>
          <w:b/>
          <w:bCs/>
          <w:i/>
          <w:iCs/>
        </w:rPr>
        <w:t>Floodplain Development Manual</w:t>
      </w:r>
      <w:r w:rsidRPr="00CF1DDD">
        <w:rPr>
          <w:i/>
        </w:rPr>
        <w:t> means the </w:t>
      </w:r>
      <w:r w:rsidRPr="00CF1DDD">
        <w:rPr>
          <w:i/>
          <w:iCs/>
        </w:rPr>
        <w:t>Floodplain Development Manual</w:t>
      </w:r>
      <w:r w:rsidRPr="00CF1DDD">
        <w:rPr>
          <w:i/>
        </w:rPr>
        <w:t>(ISBN 0 7347 5476 0) published by the NSW Government in April 2005.</w:t>
      </w:r>
    </w:p>
    <w:p w14:paraId="1E97A066" w14:textId="77777777" w:rsidR="0028186F" w:rsidRPr="00CF1DDD" w:rsidRDefault="00CF1DDD" w:rsidP="005C307A">
      <w:pPr>
        <w:pStyle w:val="BodyText"/>
        <w:rPr>
          <w:b/>
        </w:rPr>
      </w:pPr>
      <w:r w:rsidRPr="003860D4">
        <w:rPr>
          <w:b/>
          <w:u w:val="single"/>
        </w:rPr>
        <w:t>Comment</w:t>
      </w:r>
      <w:r w:rsidRPr="00CF1DDD">
        <w:rPr>
          <w:b/>
        </w:rPr>
        <w:t>:</w:t>
      </w:r>
    </w:p>
    <w:p w14:paraId="39F1290B" w14:textId="77777777" w:rsidR="00CF1DDD" w:rsidRPr="003860D4" w:rsidRDefault="00E92FB8" w:rsidP="005C307A">
      <w:pPr>
        <w:pStyle w:val="BodyText"/>
      </w:pPr>
      <w:r w:rsidRPr="003860D4">
        <w:t xml:space="preserve">A detailed summary of the proposal and the </w:t>
      </w:r>
      <w:r w:rsidR="003860D4">
        <w:t xml:space="preserve">possible impact of </w:t>
      </w:r>
      <w:r w:rsidRPr="003860D4">
        <w:t>flooding of the site have been assessed below</w:t>
      </w:r>
      <w:r w:rsidR="003860D4" w:rsidRPr="003860D4">
        <w:t xml:space="preserve"> under ‘5.2 Key Assessment Issues’</w:t>
      </w:r>
      <w:r w:rsidRPr="003860D4">
        <w:t>.</w:t>
      </w:r>
    </w:p>
    <w:p w14:paraId="73C0697A" w14:textId="77777777" w:rsidR="00CF1DDD" w:rsidRPr="00CF1DDD" w:rsidRDefault="00CF1DDD" w:rsidP="00CF1DDD">
      <w:pPr>
        <w:pStyle w:val="BodyText"/>
        <w:rPr>
          <w:b/>
          <w:bCs/>
          <w:i/>
        </w:rPr>
      </w:pPr>
      <w:r w:rsidRPr="00CF1DDD">
        <w:rPr>
          <w:b/>
          <w:bCs/>
          <w:i/>
        </w:rPr>
        <w:t>Part 6 Additional local provisions</w:t>
      </w:r>
    </w:p>
    <w:p w14:paraId="379B6F66" w14:textId="77777777" w:rsidR="00CF1DDD" w:rsidRPr="00CF1DDD" w:rsidRDefault="00CF1DDD" w:rsidP="00CF1DDD">
      <w:pPr>
        <w:pStyle w:val="BodyText"/>
        <w:rPr>
          <w:i/>
        </w:rPr>
      </w:pPr>
      <w:r w:rsidRPr="00CF1DDD">
        <w:rPr>
          <w:b/>
          <w:bCs/>
          <w:i/>
        </w:rPr>
        <w:t>6.1</w:t>
      </w:r>
      <w:r w:rsidRPr="00CF1DDD">
        <w:rPr>
          <w:i/>
        </w:rPr>
        <w:t>   </w:t>
      </w:r>
      <w:r w:rsidRPr="00CF1DDD">
        <w:rPr>
          <w:b/>
          <w:bCs/>
          <w:i/>
        </w:rPr>
        <w:t>Earthworks</w:t>
      </w:r>
    </w:p>
    <w:p w14:paraId="610D5C1E" w14:textId="77777777" w:rsidR="00CF1DDD" w:rsidRPr="00CF1DDD" w:rsidRDefault="00CF1DDD" w:rsidP="00CF1DDD">
      <w:pPr>
        <w:pStyle w:val="BodyText"/>
        <w:rPr>
          <w:i/>
        </w:rPr>
      </w:pPr>
      <w:r w:rsidRPr="00CF1DDD">
        <w:rPr>
          <w:i/>
        </w:rPr>
        <w:t>(1)  The objective of this clause is to ensure that earthworks for which development consent is required will not have a detrimental impact on environmental functions and processes, neighbouring uses, cultural or heritage items or features of the surrounding land.</w:t>
      </w:r>
    </w:p>
    <w:p w14:paraId="5893D05A" w14:textId="77777777" w:rsidR="00CF1DDD" w:rsidRPr="00CF1DDD" w:rsidRDefault="00CF1DDD" w:rsidP="00CF1DDD">
      <w:pPr>
        <w:pStyle w:val="BodyText"/>
        <w:rPr>
          <w:i/>
        </w:rPr>
      </w:pPr>
      <w:r w:rsidRPr="00CF1DDD">
        <w:rPr>
          <w:i/>
        </w:rPr>
        <w:t>(2)  Development consent is required for earthworks unless—</w:t>
      </w:r>
    </w:p>
    <w:p w14:paraId="39ACE44A" w14:textId="77777777" w:rsidR="00CF1DDD" w:rsidRPr="00CF1DDD" w:rsidRDefault="00CF1DDD" w:rsidP="00CF1DDD">
      <w:pPr>
        <w:pStyle w:val="BodyText"/>
        <w:rPr>
          <w:i/>
        </w:rPr>
      </w:pPr>
      <w:r w:rsidRPr="00CF1DDD">
        <w:rPr>
          <w:i/>
        </w:rPr>
        <w:t>(a)  the earthworks are exempt development under this Plan or another applicable environmental planning instrument, or</w:t>
      </w:r>
    </w:p>
    <w:p w14:paraId="38BEAB52" w14:textId="77777777" w:rsidR="00CF1DDD" w:rsidRPr="00CF1DDD" w:rsidRDefault="00CF1DDD" w:rsidP="00CF1DDD">
      <w:pPr>
        <w:pStyle w:val="BodyText"/>
        <w:rPr>
          <w:i/>
        </w:rPr>
      </w:pPr>
      <w:r w:rsidRPr="00CF1DDD">
        <w:rPr>
          <w:i/>
        </w:rPr>
        <w:t>(b)  the earthworks are ancillary to development that is permitted without consent under this Plan or to development for which development consent has been given.</w:t>
      </w:r>
    </w:p>
    <w:p w14:paraId="05BF4AB9" w14:textId="77777777" w:rsidR="00CF1DDD" w:rsidRPr="00CF1DDD" w:rsidRDefault="00CF1DDD" w:rsidP="00CF1DDD">
      <w:pPr>
        <w:pStyle w:val="BodyText"/>
        <w:rPr>
          <w:i/>
        </w:rPr>
      </w:pPr>
      <w:r w:rsidRPr="00CF1DDD">
        <w:rPr>
          <w:i/>
        </w:rPr>
        <w:t>(3)  Before granting development consent for earthworks (or for development involving ancillary earthworks), the consent authority must consider the following matters—</w:t>
      </w:r>
    </w:p>
    <w:p w14:paraId="16A25E32" w14:textId="77777777" w:rsidR="00CF1DDD" w:rsidRPr="00CF1DDD" w:rsidRDefault="00CF1DDD" w:rsidP="00CF1DDD">
      <w:pPr>
        <w:pStyle w:val="BodyText"/>
        <w:rPr>
          <w:i/>
        </w:rPr>
      </w:pPr>
      <w:r w:rsidRPr="00CF1DDD">
        <w:rPr>
          <w:i/>
        </w:rPr>
        <w:lastRenderedPageBreak/>
        <w:t>(a)  the likely disruption of, or any detrimental effect on, drainage patterns and soil stability in the locality of the development,</w:t>
      </w:r>
    </w:p>
    <w:p w14:paraId="6E046679" w14:textId="77777777" w:rsidR="00CF1DDD" w:rsidRPr="00CF1DDD" w:rsidRDefault="00CF1DDD" w:rsidP="00CF1DDD">
      <w:pPr>
        <w:pStyle w:val="BodyText"/>
        <w:rPr>
          <w:i/>
        </w:rPr>
      </w:pPr>
      <w:r w:rsidRPr="00CF1DDD">
        <w:rPr>
          <w:i/>
        </w:rPr>
        <w:t>(b)  the effect of the development on the likely future use or redevelopment of the land,</w:t>
      </w:r>
    </w:p>
    <w:p w14:paraId="39DC26A5" w14:textId="77777777" w:rsidR="00CF1DDD" w:rsidRPr="00CF1DDD" w:rsidRDefault="00CF1DDD" w:rsidP="00CF1DDD">
      <w:pPr>
        <w:pStyle w:val="BodyText"/>
        <w:rPr>
          <w:i/>
        </w:rPr>
      </w:pPr>
      <w:r w:rsidRPr="00CF1DDD">
        <w:rPr>
          <w:i/>
        </w:rPr>
        <w:t>(c)  the quality of the fill or the soil to be excavated, or both,</w:t>
      </w:r>
    </w:p>
    <w:p w14:paraId="4DC356FE" w14:textId="77777777" w:rsidR="00CF1DDD" w:rsidRPr="00CF1DDD" w:rsidRDefault="00CF1DDD" w:rsidP="00CF1DDD">
      <w:pPr>
        <w:pStyle w:val="BodyText"/>
        <w:rPr>
          <w:i/>
        </w:rPr>
      </w:pPr>
      <w:r w:rsidRPr="00CF1DDD">
        <w:rPr>
          <w:i/>
        </w:rPr>
        <w:t>(d)  the effect of the development on the existing and likely amenity of adjoining properties,</w:t>
      </w:r>
    </w:p>
    <w:p w14:paraId="59ED19F3" w14:textId="77777777" w:rsidR="00CF1DDD" w:rsidRPr="00CF1DDD" w:rsidRDefault="00CF1DDD" w:rsidP="00CF1DDD">
      <w:pPr>
        <w:pStyle w:val="BodyText"/>
        <w:rPr>
          <w:i/>
        </w:rPr>
      </w:pPr>
      <w:r w:rsidRPr="00CF1DDD">
        <w:rPr>
          <w:i/>
        </w:rPr>
        <w:t>(e)  the source of any fill material and the destination of any excavated material,</w:t>
      </w:r>
    </w:p>
    <w:p w14:paraId="78096AA6" w14:textId="77777777" w:rsidR="00CF1DDD" w:rsidRPr="00CF1DDD" w:rsidRDefault="00CF1DDD" w:rsidP="00CF1DDD">
      <w:pPr>
        <w:pStyle w:val="BodyText"/>
        <w:rPr>
          <w:i/>
        </w:rPr>
      </w:pPr>
      <w:r w:rsidRPr="00CF1DDD">
        <w:rPr>
          <w:i/>
        </w:rPr>
        <w:t>(f)  the likelihood of disturbing relics,</w:t>
      </w:r>
    </w:p>
    <w:p w14:paraId="1C4D474F" w14:textId="77777777" w:rsidR="00CF1DDD" w:rsidRPr="00CF1DDD" w:rsidRDefault="00CF1DDD" w:rsidP="00CF1DDD">
      <w:pPr>
        <w:pStyle w:val="BodyText"/>
        <w:rPr>
          <w:i/>
        </w:rPr>
      </w:pPr>
      <w:r w:rsidRPr="00CF1DDD">
        <w:rPr>
          <w:i/>
        </w:rPr>
        <w:t>(g)  the proximity to, and potential for adverse impacts on, any waterway, drinking water catchment or environmentally sensitive area,</w:t>
      </w:r>
    </w:p>
    <w:p w14:paraId="5BB575D8" w14:textId="77777777" w:rsidR="00CF1DDD" w:rsidRPr="00CF1DDD" w:rsidRDefault="00CF1DDD" w:rsidP="00CF1DDD">
      <w:pPr>
        <w:pStyle w:val="BodyText"/>
        <w:rPr>
          <w:i/>
        </w:rPr>
      </w:pPr>
      <w:r w:rsidRPr="00CF1DDD">
        <w:rPr>
          <w:i/>
        </w:rPr>
        <w:t>(h)  any appropriate measures proposed to avoid, minimise or mitigate the impacts of the development.</w:t>
      </w:r>
    </w:p>
    <w:p w14:paraId="5B76B8A2" w14:textId="77777777" w:rsidR="00CF1DDD" w:rsidRPr="00CF1DDD" w:rsidRDefault="00CF1DDD" w:rsidP="00CF1DDD">
      <w:pPr>
        <w:pStyle w:val="BodyText"/>
        <w:rPr>
          <w:i/>
        </w:rPr>
      </w:pPr>
      <w:r w:rsidRPr="00CF1DDD">
        <w:rPr>
          <w:b/>
          <w:bCs/>
          <w:i/>
        </w:rPr>
        <w:t>Note—</w:t>
      </w:r>
    </w:p>
    <w:p w14:paraId="7495FE88" w14:textId="77777777" w:rsidR="00CF1DDD" w:rsidRPr="00CF1DDD" w:rsidRDefault="00CF1DDD" w:rsidP="00CF1DDD">
      <w:pPr>
        <w:pStyle w:val="BodyText"/>
        <w:rPr>
          <w:i/>
        </w:rPr>
      </w:pPr>
      <w:r w:rsidRPr="00CF1DDD">
        <w:rPr>
          <w:i/>
        </w:rPr>
        <w:t>The</w:t>
      </w:r>
      <w:r>
        <w:rPr>
          <w:i/>
        </w:rPr>
        <w:t xml:space="preserve"> National Parks &amp; Wildlife Act 1974</w:t>
      </w:r>
      <w:r w:rsidRPr="00CF1DDD">
        <w:rPr>
          <w:i/>
        </w:rPr>
        <w:t>, particularly section 86, deals with harming Aboriginal objects.</w:t>
      </w:r>
    </w:p>
    <w:p w14:paraId="3952A5E3" w14:textId="77777777" w:rsidR="00CF1DDD" w:rsidRPr="00CF1DDD" w:rsidRDefault="00CF1DDD" w:rsidP="005C307A">
      <w:pPr>
        <w:pStyle w:val="BodyText"/>
        <w:rPr>
          <w:b/>
        </w:rPr>
      </w:pPr>
      <w:r w:rsidRPr="00E92FB8">
        <w:rPr>
          <w:b/>
          <w:u w:val="single"/>
        </w:rPr>
        <w:t>Comment</w:t>
      </w:r>
      <w:r w:rsidRPr="00CF1DDD">
        <w:rPr>
          <w:b/>
        </w:rPr>
        <w:t>:</w:t>
      </w:r>
    </w:p>
    <w:p w14:paraId="32B2C052" w14:textId="77777777" w:rsidR="00CF1DDD" w:rsidRDefault="00E92FB8" w:rsidP="005C307A">
      <w:pPr>
        <w:pStyle w:val="BodyText"/>
      </w:pPr>
      <w:r>
        <w:t xml:space="preserve">Very limited earthworks are proposed as part of this development. </w:t>
      </w:r>
      <w:r w:rsidR="00412BD1">
        <w:t xml:space="preserve">Instead, the applicant is predominantly working with the natural grade of the land and is proposing the structures on steel columns which will work with the lie of the land. </w:t>
      </w:r>
      <w:r>
        <w:t xml:space="preserve">No external fill is proposed to be imported to the site and the earthworks are limited to ground re-grading to allow the development, roads, pathways, landscaping and drainage to occur. </w:t>
      </w:r>
    </w:p>
    <w:p w14:paraId="0E88CEE0" w14:textId="77777777" w:rsidR="00257670" w:rsidRDefault="00257670" w:rsidP="005C307A">
      <w:pPr>
        <w:pStyle w:val="BodyText"/>
      </w:pPr>
      <w:r>
        <w:t>Precautionary conditions are included in the event of any historical find of Aboriginal significance or importance.</w:t>
      </w:r>
    </w:p>
    <w:p w14:paraId="31752CFC" w14:textId="77777777" w:rsidR="00CF1DDD" w:rsidRPr="00CF1DDD" w:rsidRDefault="00CF1DDD" w:rsidP="00CF1DDD">
      <w:pPr>
        <w:pStyle w:val="BodyText"/>
        <w:rPr>
          <w:i/>
        </w:rPr>
      </w:pPr>
      <w:r w:rsidRPr="00CF1DDD">
        <w:rPr>
          <w:b/>
          <w:bCs/>
          <w:i/>
        </w:rPr>
        <w:t>6.4</w:t>
      </w:r>
      <w:r w:rsidRPr="00CF1DDD">
        <w:rPr>
          <w:i/>
        </w:rPr>
        <w:t>   </w:t>
      </w:r>
      <w:r w:rsidRPr="00CF1DDD">
        <w:rPr>
          <w:b/>
          <w:bCs/>
          <w:i/>
        </w:rPr>
        <w:t>Essential services</w:t>
      </w:r>
    </w:p>
    <w:p w14:paraId="774B8F91" w14:textId="77777777" w:rsidR="00CF1DDD" w:rsidRPr="00CF1DDD" w:rsidRDefault="00CF1DDD" w:rsidP="00CF1DDD">
      <w:pPr>
        <w:pStyle w:val="BodyText"/>
        <w:rPr>
          <w:i/>
        </w:rPr>
      </w:pPr>
      <w:r w:rsidRPr="00CF1DDD">
        <w:rPr>
          <w:i/>
        </w:rPr>
        <w:t>Development consent must not be granted to development unless the consent authority is satisfied that any of the following services that are essential for the development are available or that adequate arrangements have been made to make them available when required—</w:t>
      </w:r>
    </w:p>
    <w:p w14:paraId="28CFAD95" w14:textId="77777777" w:rsidR="00CF1DDD" w:rsidRPr="00CF1DDD" w:rsidRDefault="00CF1DDD" w:rsidP="00CF1DDD">
      <w:pPr>
        <w:pStyle w:val="BodyText"/>
        <w:rPr>
          <w:i/>
        </w:rPr>
      </w:pPr>
      <w:r w:rsidRPr="00CF1DDD">
        <w:rPr>
          <w:i/>
        </w:rPr>
        <w:t>(a)  the supply of water,</w:t>
      </w:r>
    </w:p>
    <w:p w14:paraId="4242E301" w14:textId="77777777" w:rsidR="00CF1DDD" w:rsidRPr="00CF1DDD" w:rsidRDefault="00CF1DDD" w:rsidP="00CF1DDD">
      <w:pPr>
        <w:pStyle w:val="BodyText"/>
        <w:rPr>
          <w:i/>
        </w:rPr>
      </w:pPr>
      <w:r w:rsidRPr="00CF1DDD">
        <w:rPr>
          <w:i/>
        </w:rPr>
        <w:t>(b)  the supply of electricity,</w:t>
      </w:r>
    </w:p>
    <w:p w14:paraId="1B0B67D8" w14:textId="77777777" w:rsidR="00CF1DDD" w:rsidRPr="00CF1DDD" w:rsidRDefault="00CF1DDD" w:rsidP="00CF1DDD">
      <w:pPr>
        <w:pStyle w:val="BodyText"/>
        <w:rPr>
          <w:i/>
        </w:rPr>
      </w:pPr>
      <w:r w:rsidRPr="00CF1DDD">
        <w:rPr>
          <w:i/>
        </w:rPr>
        <w:t>(c)  the disposal and management of sewage,</w:t>
      </w:r>
    </w:p>
    <w:p w14:paraId="1F9B9214" w14:textId="77777777" w:rsidR="00CF1DDD" w:rsidRPr="00CF1DDD" w:rsidRDefault="00CF1DDD" w:rsidP="00CF1DDD">
      <w:pPr>
        <w:pStyle w:val="BodyText"/>
        <w:rPr>
          <w:i/>
        </w:rPr>
      </w:pPr>
      <w:r w:rsidRPr="00CF1DDD">
        <w:rPr>
          <w:i/>
        </w:rPr>
        <w:t>(d)  stormwater drainage or on-site conservation,</w:t>
      </w:r>
    </w:p>
    <w:p w14:paraId="2E3FBD1E" w14:textId="77777777" w:rsidR="00CF1DDD" w:rsidRPr="00CF1DDD" w:rsidRDefault="00CF1DDD" w:rsidP="00CF1DDD">
      <w:pPr>
        <w:pStyle w:val="BodyText"/>
        <w:rPr>
          <w:i/>
        </w:rPr>
      </w:pPr>
      <w:r w:rsidRPr="00CF1DDD">
        <w:rPr>
          <w:i/>
        </w:rPr>
        <w:t>(e)  suitable vehicular access.</w:t>
      </w:r>
    </w:p>
    <w:p w14:paraId="5E46F60C" w14:textId="77777777" w:rsidR="00CF1DDD" w:rsidRPr="00CF1DDD" w:rsidRDefault="00CF1DDD" w:rsidP="005C307A">
      <w:pPr>
        <w:pStyle w:val="BodyText"/>
        <w:rPr>
          <w:b/>
        </w:rPr>
      </w:pPr>
      <w:r w:rsidRPr="00257670">
        <w:rPr>
          <w:b/>
          <w:u w:val="single"/>
        </w:rPr>
        <w:t>Comment</w:t>
      </w:r>
      <w:r w:rsidRPr="00CF1DDD">
        <w:rPr>
          <w:b/>
        </w:rPr>
        <w:t>:</w:t>
      </w:r>
    </w:p>
    <w:p w14:paraId="635A1581" w14:textId="77777777" w:rsidR="00E92FB8" w:rsidRDefault="00E92FB8" w:rsidP="00E92FB8">
      <w:pPr>
        <w:autoSpaceDE w:val="0"/>
        <w:autoSpaceDN w:val="0"/>
        <w:adjustRightInd w:val="0"/>
      </w:pPr>
      <w:r>
        <w:t>Wilcannia is serviced by a dual reticulated water supply scheme delivering both potable and raw water. During times of no flow in the river when the existing weirpool is too low or of poor raw water quality, water is sourced from 2 ground water bores constructed downstream of the existing weir. Bore water cannot be used as the sole source of supply as the bore yields are not sufficient to supply the potable and non-potable water demands for the town.</w:t>
      </w:r>
    </w:p>
    <w:p w14:paraId="11F7EC54" w14:textId="77777777" w:rsidR="00E92FB8" w:rsidRDefault="00E92FB8" w:rsidP="00E92FB8">
      <w:pPr>
        <w:autoSpaceDE w:val="0"/>
        <w:autoSpaceDN w:val="0"/>
        <w:adjustRightInd w:val="0"/>
      </w:pPr>
    </w:p>
    <w:p w14:paraId="6F320CA8" w14:textId="77777777" w:rsidR="00E92FB8" w:rsidRDefault="00E92FB8" w:rsidP="005C307A">
      <w:pPr>
        <w:pStyle w:val="BodyText"/>
      </w:pPr>
      <w:r>
        <w:t>Electricity is available to the site.</w:t>
      </w:r>
    </w:p>
    <w:p w14:paraId="6E1C876F" w14:textId="77777777" w:rsidR="00E92FB8" w:rsidRDefault="00E92FB8" w:rsidP="005C307A">
      <w:pPr>
        <w:pStyle w:val="BodyText"/>
      </w:pPr>
      <w:r>
        <w:t xml:space="preserve">Sewage disposal will be utilised via </w:t>
      </w:r>
      <w:r w:rsidR="00412BD1">
        <w:t xml:space="preserve">on-site </w:t>
      </w:r>
      <w:r>
        <w:t>septic tank</w:t>
      </w:r>
      <w:r w:rsidR="00412BD1">
        <w:t xml:space="preserve"> and absorption trench</w:t>
      </w:r>
      <w:r>
        <w:t>.</w:t>
      </w:r>
    </w:p>
    <w:p w14:paraId="578497A5" w14:textId="77777777" w:rsidR="00E92FB8" w:rsidRDefault="00E92FB8" w:rsidP="005C307A">
      <w:pPr>
        <w:pStyle w:val="BodyText"/>
      </w:pPr>
      <w:r>
        <w:t>Stormwater matters are addressed by way of draft conditions.</w:t>
      </w:r>
    </w:p>
    <w:p w14:paraId="14BA8B8E" w14:textId="77777777" w:rsidR="00412BD1" w:rsidRDefault="00412BD1" w:rsidP="005C307A">
      <w:pPr>
        <w:pStyle w:val="BodyText"/>
      </w:pPr>
      <w:r>
        <w:lastRenderedPageBreak/>
        <w:t>The applicant is proposing to install 4 rainwater tanks.</w:t>
      </w:r>
    </w:p>
    <w:p w14:paraId="53888EAB" w14:textId="77777777" w:rsidR="00E92FB8" w:rsidRDefault="00E92FB8" w:rsidP="005C307A">
      <w:pPr>
        <w:pStyle w:val="BodyText"/>
      </w:pPr>
      <w:r>
        <w:t xml:space="preserve">Vehicular access will be </w:t>
      </w:r>
      <w:r w:rsidR="00412BD1">
        <w:t>upgraded</w:t>
      </w:r>
      <w:r>
        <w:t xml:space="preserve"> by way of sealed access, driveway, pathways and carparking. Access and 14 parking space will be provided on the existing non-sealed Bonney Street road reserve as part of the Voluntary Planning Agreement.</w:t>
      </w:r>
    </w:p>
    <w:p w14:paraId="38D605EC" w14:textId="77777777" w:rsidR="00E92FB8" w:rsidRDefault="00E92FB8" w:rsidP="005C307A">
      <w:pPr>
        <w:pStyle w:val="BodyText"/>
      </w:pPr>
      <w:r>
        <w:t>In assessing this development application, we are confident that the land is or is capable of complying with the requirements of clause 6.4 of the LEP.</w:t>
      </w:r>
    </w:p>
    <w:p w14:paraId="05ADF35F" w14:textId="77777777" w:rsidR="005C307A" w:rsidRDefault="0051452A" w:rsidP="005C307A">
      <w:pPr>
        <w:pStyle w:val="BodyText"/>
        <w:rPr>
          <w:b/>
          <w:sz w:val="28"/>
          <w:szCs w:val="28"/>
        </w:rPr>
      </w:pPr>
      <w:r>
        <w:rPr>
          <w:b/>
          <w:sz w:val="28"/>
          <w:szCs w:val="28"/>
        </w:rPr>
        <w:t>5.2</w:t>
      </w:r>
      <w:r>
        <w:rPr>
          <w:b/>
          <w:sz w:val="28"/>
          <w:szCs w:val="28"/>
        </w:rPr>
        <w:tab/>
      </w:r>
      <w:r w:rsidR="005C307A" w:rsidRPr="00CF1DDD">
        <w:rPr>
          <w:b/>
          <w:sz w:val="28"/>
          <w:szCs w:val="28"/>
        </w:rPr>
        <w:t>Key assessment issues</w:t>
      </w:r>
    </w:p>
    <w:p w14:paraId="7D5E45AC" w14:textId="77777777" w:rsidR="007B6351" w:rsidRDefault="0051452A" w:rsidP="007B6351">
      <w:pPr>
        <w:pStyle w:val="ListBullet"/>
      </w:pPr>
      <w:r>
        <w:t>Flooding</w:t>
      </w:r>
    </w:p>
    <w:p w14:paraId="24A3C03C" w14:textId="77777777" w:rsidR="007B6351" w:rsidRDefault="007B6351" w:rsidP="007B6351">
      <w:pPr>
        <w:pStyle w:val="ListBullet"/>
      </w:pPr>
      <w:r>
        <w:t>Voluntary Planning Agreement</w:t>
      </w:r>
    </w:p>
    <w:p w14:paraId="3912953D" w14:textId="77777777" w:rsidR="007B6351" w:rsidRDefault="007B6351" w:rsidP="007B6351">
      <w:pPr>
        <w:pStyle w:val="ListBullet"/>
      </w:pPr>
      <w:r>
        <w:t>Ownership</w:t>
      </w:r>
    </w:p>
    <w:p w14:paraId="18F41E07" w14:textId="77777777" w:rsidR="0051452A" w:rsidRDefault="0051452A" w:rsidP="007B6351">
      <w:pPr>
        <w:pStyle w:val="ListBullet"/>
      </w:pPr>
      <w:r>
        <w:t>Continued public access to the Darling River</w:t>
      </w:r>
    </w:p>
    <w:p w14:paraId="6830B65A" w14:textId="77777777" w:rsidR="007B6351" w:rsidRDefault="007B6351" w:rsidP="007B6351">
      <w:pPr>
        <w:pStyle w:val="ListBullet"/>
      </w:pPr>
      <w:r>
        <w:t>Matters raised by the Western Regional Planning Panel at the briefing held on 15 February, 2022.</w:t>
      </w:r>
    </w:p>
    <w:p w14:paraId="2FD0834C" w14:textId="77777777" w:rsidR="0051452A" w:rsidRPr="00B62066" w:rsidRDefault="0051452A" w:rsidP="0051452A">
      <w:pPr>
        <w:pStyle w:val="BodyText"/>
        <w:rPr>
          <w:b/>
        </w:rPr>
      </w:pPr>
      <w:r w:rsidRPr="00B62066">
        <w:rPr>
          <w:b/>
        </w:rPr>
        <w:t>Flooding</w:t>
      </w:r>
    </w:p>
    <w:p w14:paraId="6D49C3F6" w14:textId="77777777" w:rsidR="0051452A" w:rsidRDefault="0051452A" w:rsidP="0051452A">
      <w:pPr>
        <w:pStyle w:val="BodyText"/>
      </w:pPr>
      <w:r>
        <w:t>A flood study report (dated 1 April 2022) was prepared for the Wilcannia Wellbeing Centre by Tonkin (the Tonkin Report).  The assessment is constrained by the lack of any overall flood study for the Darling River around Wilcannia to establish a definitive 1</w:t>
      </w:r>
      <w:r w:rsidR="00412BD1">
        <w:t xml:space="preserve"> in 100 years </w:t>
      </w:r>
      <w:r>
        <w:t xml:space="preserve">flood level.  This means that the evidence based on historical flood records is necessary to determine the appropriateness of the nominated floor level in the proposed design.  A review of the available information and evidence is detailed below. </w:t>
      </w:r>
    </w:p>
    <w:p w14:paraId="41EFADE7" w14:textId="77777777" w:rsidR="0051452A" w:rsidRDefault="0051452A" w:rsidP="0051452A">
      <w:pPr>
        <w:pStyle w:val="BodyText"/>
        <w:ind w:left="720" w:hanging="720"/>
      </w:pPr>
      <w:r>
        <w:t>1.</w:t>
      </w:r>
      <w:r>
        <w:tab/>
        <w:t>The Tonkin Report cites an article from 2005 in the local community newsletter Wilcannia News which identified notable floods from 1879 to 2001 and noted the 1976 flood as the highest during that period. This would provide a close estimate of the 100 years ARI flood (1% AEP) based on records over 100 years.</w:t>
      </w:r>
    </w:p>
    <w:p w14:paraId="22EF425F" w14:textId="77777777" w:rsidR="0051452A" w:rsidRDefault="0051452A" w:rsidP="0051452A">
      <w:pPr>
        <w:pStyle w:val="BodyText"/>
        <w:ind w:left="720" w:hanging="720"/>
      </w:pPr>
      <w:r>
        <w:t>2.</w:t>
      </w:r>
      <w:r>
        <w:tab/>
        <w:t>The flow data for the flow over the weir at the Wilcannia flood gauge was independently reviewed since the 1930’s and this also identified the flow at the gauge on 5 April 1976 as the highest level. The Tonkin Report noted this flow as 68,804 ML/day. The height on the gauge was noted as 11.592 m.</w:t>
      </w:r>
    </w:p>
    <w:p w14:paraId="4FD20CFA" w14:textId="77777777" w:rsidR="0051452A" w:rsidRDefault="0051452A" w:rsidP="0051452A">
      <w:pPr>
        <w:pStyle w:val="BodyText"/>
        <w:ind w:left="720" w:hanging="720"/>
      </w:pPr>
      <w:r>
        <w:t>3.</w:t>
      </w:r>
      <w:r>
        <w:tab/>
        <w:t>The flood marker on the ablutions block at the caravan park (directly opposite the site on the other side of the river) represents the highest recorded water level and this is at 76.655 m AHD for the 1976 flood.</w:t>
      </w:r>
    </w:p>
    <w:p w14:paraId="4848C430" w14:textId="77777777" w:rsidR="0051452A" w:rsidRDefault="0051452A" w:rsidP="0051452A">
      <w:pPr>
        <w:pStyle w:val="BodyText"/>
        <w:ind w:left="720" w:hanging="720"/>
      </w:pPr>
      <w:r>
        <w:t>4.</w:t>
      </w:r>
      <w:r>
        <w:tab/>
        <w:t>The Tonkin Report also notes that the Bureau of Meteorology’s flood frequency analysis tool estimates a 1 in 100-year flood to discharge as 850 cumec (73,440 ML/day) of flow along the Darling River at Wilcannia. This is slightly (7%) greater than the recorded discharge during the 1976 flood.</w:t>
      </w:r>
    </w:p>
    <w:p w14:paraId="2A9B3876" w14:textId="77777777" w:rsidR="0051452A" w:rsidRDefault="0051452A" w:rsidP="0051452A">
      <w:pPr>
        <w:pStyle w:val="BodyText"/>
        <w:ind w:left="720" w:hanging="720"/>
      </w:pPr>
      <w:r>
        <w:t>5.</w:t>
      </w:r>
      <w:r>
        <w:tab/>
        <w:t xml:space="preserve">In reviewing additional flow data from the records, a flood on 23 June 1990 reached a level of 11.00 m on the gauge with a flow of 47,747 ML/day.  Comparing the 1976 flood to the 1990 flood, the gauge height rise of 0.592 m equated to a flow difference of 21,057 ML/day. </w:t>
      </w:r>
    </w:p>
    <w:p w14:paraId="1FD1C43C" w14:textId="77777777" w:rsidR="0051452A" w:rsidRDefault="0051452A" w:rsidP="0051452A">
      <w:pPr>
        <w:pStyle w:val="BodyText"/>
        <w:ind w:left="720" w:hanging="720"/>
      </w:pPr>
      <w:r>
        <w:t>6.</w:t>
      </w:r>
      <w:r>
        <w:tab/>
        <w:t xml:space="preserve">Conservatively, utilising that same gauge height rise rate as above, a 100 years discharge flow of 73,440 ML/day compared to 1976 flood flow rate of 68,804 ML/day would equate to a rise on the gauge of 0.130m. </w:t>
      </w:r>
    </w:p>
    <w:p w14:paraId="4D620292" w14:textId="77777777" w:rsidR="0051452A" w:rsidRDefault="0051452A" w:rsidP="0051452A">
      <w:pPr>
        <w:pStyle w:val="BodyText"/>
        <w:ind w:left="720" w:hanging="720"/>
      </w:pPr>
      <w:r>
        <w:t>7.</w:t>
      </w:r>
      <w:r>
        <w:tab/>
        <w:t xml:space="preserve">Based on the 1976 recorded flood level of RL 76.655 m AHD and the rise of 0.13m this would set a 100 years ARI (1% AEP) flood level at the development site of RL 76.785 m </w:t>
      </w:r>
      <w:r>
        <w:lastRenderedPageBreak/>
        <w:t xml:space="preserve">AHD. Applying a 0.5 m freeboard would set a minimum floor level based on flooding at RL 77.285 m AHD.  </w:t>
      </w:r>
    </w:p>
    <w:p w14:paraId="44096D89" w14:textId="77777777" w:rsidR="0051452A" w:rsidRDefault="0051452A" w:rsidP="0051452A">
      <w:pPr>
        <w:pStyle w:val="BodyText"/>
      </w:pPr>
      <w:r>
        <w:t>The ‘Flood Levels Wilcannia Health Clinic’ report by Barnson Pty Ltd dated 13 May 2021 identifies that the proposed floor level of RL 77.42 m AHD matches the floor level of the adjacent hospital Based on this and the assessment above the proposed finished floor level of 77.42 m AHD is supported.</w:t>
      </w:r>
    </w:p>
    <w:p w14:paraId="38BBFA16" w14:textId="77777777" w:rsidR="0051452A" w:rsidRDefault="0051452A" w:rsidP="0051452A">
      <w:pPr>
        <w:pStyle w:val="BodyText"/>
      </w:pPr>
      <w:r>
        <w:t>To better manage the flooding, additional conditions are recommended to ensure structural protection to the buildings during a flood and by requiring a flood management plan to better manage the impacts of the floods both during and after a major flood</w:t>
      </w:r>
      <w:r w:rsidR="00412BD1">
        <w:t xml:space="preserve"> event</w:t>
      </w:r>
      <w:r>
        <w:t>.</w:t>
      </w:r>
    </w:p>
    <w:p w14:paraId="1E75E540" w14:textId="77777777" w:rsidR="0051452A" w:rsidRPr="0051452A" w:rsidRDefault="0051452A" w:rsidP="0051452A">
      <w:pPr>
        <w:pStyle w:val="BodyText"/>
        <w:rPr>
          <w:b/>
        </w:rPr>
      </w:pPr>
      <w:r w:rsidRPr="0051452A">
        <w:rPr>
          <w:b/>
        </w:rPr>
        <w:t>Voluntary Planning Agreement</w:t>
      </w:r>
    </w:p>
    <w:p w14:paraId="2BE89820" w14:textId="77777777" w:rsidR="00FE0266" w:rsidRPr="00412BD1" w:rsidRDefault="00257670" w:rsidP="00FE0266">
      <w:pPr>
        <w:pStyle w:val="BodyText"/>
        <w:rPr>
          <w:bCs/>
        </w:rPr>
      </w:pPr>
      <w:r w:rsidRPr="00412BD1">
        <w:t xml:space="preserve">A draft Voluntary Planning Agreement </w:t>
      </w:r>
      <w:r w:rsidR="00FE0266" w:rsidRPr="00412BD1">
        <w:t xml:space="preserve">(VPA) </w:t>
      </w:r>
      <w:r w:rsidRPr="00412BD1">
        <w:t>has been prepared</w:t>
      </w:r>
      <w:r w:rsidR="006E3319" w:rsidRPr="00412BD1">
        <w:t xml:space="preserve"> as </w:t>
      </w:r>
      <w:r w:rsidR="00FE0266" w:rsidRPr="00412BD1">
        <w:t>no Section 7.11 Contributions Plan applies</w:t>
      </w:r>
      <w:r w:rsidRPr="00412BD1">
        <w:t xml:space="preserve">. </w:t>
      </w:r>
      <w:r w:rsidR="00FE0266" w:rsidRPr="00412BD1">
        <w:t xml:space="preserve"> </w:t>
      </w:r>
      <w:r w:rsidR="00FE0266" w:rsidRPr="00412BD1">
        <w:rPr>
          <w:bCs/>
        </w:rPr>
        <w:t xml:space="preserve">The applicant has sent to Council an offer to enter into a VPA and this has been accepted by Council and VPA is now being finalised. The VPA will simply include the requirement for the delivery of the infrastructure works required in Bonney Street to enable suitable pedestrian and vehicular access to the site and the provision of carparking prior to the issue of the Occupation Certificate as this is the only offsite works required to be undertaken by the applicant. The VPA will be required to be publicly notified for 28 days before being reported to Council for its endorsement to execute. It is anticipated that the resolution by the Council will take place in Council's ordinary meeting in the coming months. </w:t>
      </w:r>
    </w:p>
    <w:p w14:paraId="1520CF3B" w14:textId="77777777" w:rsidR="0051452A" w:rsidRPr="0051452A" w:rsidRDefault="0051452A" w:rsidP="0051452A">
      <w:pPr>
        <w:pStyle w:val="BodyText"/>
        <w:rPr>
          <w:b/>
        </w:rPr>
      </w:pPr>
      <w:r w:rsidRPr="0051452A">
        <w:rPr>
          <w:b/>
        </w:rPr>
        <w:t>Ownership</w:t>
      </w:r>
    </w:p>
    <w:p w14:paraId="26BAC87A" w14:textId="77777777" w:rsidR="0051452A" w:rsidRPr="000F1783" w:rsidRDefault="00096AED" w:rsidP="0051452A">
      <w:pPr>
        <w:pStyle w:val="BodyText"/>
        <w:rPr>
          <w:color w:val="FF0000"/>
        </w:rPr>
      </w:pPr>
      <w:r>
        <w:t xml:space="preserve">The land has been sold to Maari Ma and is freehold land. </w:t>
      </w:r>
      <w:r w:rsidR="00257670">
        <w:t xml:space="preserve">The contracts were exchanged on 23 May, 2022. </w:t>
      </w:r>
      <w:r>
        <w:t>Any Native Title claims have been extinguished on that basis.</w:t>
      </w:r>
      <w:r w:rsidR="00257670">
        <w:t xml:space="preserve"> The former Community Land became Operational Land to facilitate the sale. All of this has been documented on the Council’s website through public hearings and </w:t>
      </w:r>
      <w:r w:rsidR="009E0D64">
        <w:t>m</w:t>
      </w:r>
      <w:r w:rsidR="00257670">
        <w:t xml:space="preserve">inuted </w:t>
      </w:r>
      <w:r w:rsidR="009E0D64">
        <w:t>m</w:t>
      </w:r>
      <w:r w:rsidR="00257670">
        <w:t xml:space="preserve">eetings.  </w:t>
      </w:r>
    </w:p>
    <w:p w14:paraId="66A9B314" w14:textId="77777777" w:rsidR="0051452A" w:rsidRPr="0051452A" w:rsidRDefault="0051452A" w:rsidP="0051452A">
      <w:pPr>
        <w:pStyle w:val="BodyText"/>
        <w:rPr>
          <w:b/>
        </w:rPr>
      </w:pPr>
      <w:r w:rsidRPr="0051452A">
        <w:rPr>
          <w:b/>
        </w:rPr>
        <w:t>Continued public access to the Darling River</w:t>
      </w:r>
    </w:p>
    <w:p w14:paraId="17480067" w14:textId="77777777" w:rsidR="0051452A" w:rsidRDefault="0051452A" w:rsidP="0051452A">
      <w:pPr>
        <w:pStyle w:val="BodyText"/>
      </w:pPr>
      <w:r w:rsidRPr="0051452A">
        <w:t>It was evident on a site inspection that access to the waters of the Darling River is more convenient in other locations than this, although being community land up until recently, access had never been denied to the general public. The applicant does not intend on restricting public access to the foreshore, but aims to improve it. Future works will be undertaken to provide public access to the site from Field Street to the west. This development application also depicts extended access from the site to the foreshore area over Crown Land. As outlined earlier in this report, this needs to be further investigated by the applicant and Central Darling Shire Council. It need not hinder the assessment of this development application</w:t>
      </w:r>
      <w:r>
        <w:t xml:space="preserve"> and can be done separately to a Part 4 process.</w:t>
      </w:r>
    </w:p>
    <w:p w14:paraId="404425BE" w14:textId="77777777" w:rsidR="009E0D64" w:rsidRDefault="009E0D64" w:rsidP="0051452A">
      <w:pPr>
        <w:pStyle w:val="BodyText"/>
      </w:pPr>
      <w:r>
        <w:t>Access to the community gathering area/weir lookout will be provided off the Crown land adjacent to the site near the existing pump house. This area is depicted on the site plan. Access to the river from that point will be maintained and possibly enhanced in the future once the issue of constructing a path over Crown land has been resolved.</w:t>
      </w:r>
    </w:p>
    <w:p w14:paraId="1168B7F4" w14:textId="77777777" w:rsidR="0051452A" w:rsidRPr="0051452A" w:rsidRDefault="0051452A" w:rsidP="0051452A">
      <w:pPr>
        <w:pStyle w:val="BodyText"/>
        <w:rPr>
          <w:b/>
        </w:rPr>
      </w:pPr>
      <w:r w:rsidRPr="0051452A">
        <w:rPr>
          <w:b/>
        </w:rPr>
        <w:t>Matters raised by the Western Regional Planning Panel at the briefing held on 15 February, 2022</w:t>
      </w:r>
    </w:p>
    <w:p w14:paraId="7965BB84" w14:textId="77777777" w:rsidR="0051452A" w:rsidRDefault="00096AED" w:rsidP="0051452A">
      <w:pPr>
        <w:pStyle w:val="BodyText"/>
      </w:pPr>
      <w:r>
        <w:t>The Panel raised the following matters requiring further assessment consideration</w:t>
      </w:r>
    </w:p>
    <w:p w14:paraId="4ED7B9C7" w14:textId="77777777" w:rsidR="00096AED" w:rsidRPr="00FF254E" w:rsidRDefault="00096AED" w:rsidP="00096AED">
      <w:pPr>
        <w:pStyle w:val="BodyText"/>
        <w:numPr>
          <w:ilvl w:val="0"/>
          <w:numId w:val="25"/>
        </w:numPr>
        <w:rPr>
          <w:b/>
        </w:rPr>
      </w:pPr>
      <w:r w:rsidRPr="00FF254E">
        <w:rPr>
          <w:b/>
          <w:i/>
        </w:rPr>
        <w:t>Few site controls as Council does not have a DCP</w:t>
      </w:r>
    </w:p>
    <w:p w14:paraId="44FEE6D4" w14:textId="77777777" w:rsidR="00096AED" w:rsidRDefault="00096AED" w:rsidP="00096AED">
      <w:pPr>
        <w:pStyle w:val="BodyText"/>
      </w:pPr>
      <w:r w:rsidRPr="00096AED">
        <w:rPr>
          <w:u w:val="single"/>
        </w:rPr>
        <w:t>Comment</w:t>
      </w:r>
      <w:r>
        <w:t>:</w:t>
      </w:r>
    </w:p>
    <w:p w14:paraId="01EA1D33" w14:textId="77777777" w:rsidR="00096AED" w:rsidRDefault="00FF254E" w:rsidP="00096AED">
      <w:pPr>
        <w:pStyle w:val="BodyText"/>
      </w:pPr>
      <w:r>
        <w:t xml:space="preserve">We have considered the </w:t>
      </w:r>
      <w:r w:rsidR="00257670">
        <w:t xml:space="preserve">proposed use, the design, </w:t>
      </w:r>
      <w:r>
        <w:t xml:space="preserve">size and bulk of the proposal, its setbacks and proximity to various items of environmental heritage and consider that the development is </w:t>
      </w:r>
      <w:r>
        <w:lastRenderedPageBreak/>
        <w:t>appropriate for the site. The extent of landscaping proposed is also considered appropriate for its setting adjacent to the banks of the Darling River.</w:t>
      </w:r>
    </w:p>
    <w:p w14:paraId="0D6EDA43" w14:textId="77777777" w:rsidR="00096AED" w:rsidRPr="00FF254E" w:rsidRDefault="00096AED" w:rsidP="00096AED">
      <w:pPr>
        <w:pStyle w:val="BodyText"/>
        <w:numPr>
          <w:ilvl w:val="0"/>
          <w:numId w:val="25"/>
        </w:numPr>
        <w:rPr>
          <w:b/>
          <w:i/>
        </w:rPr>
      </w:pPr>
      <w:r w:rsidRPr="00FF254E">
        <w:rPr>
          <w:b/>
          <w:i/>
        </w:rPr>
        <w:t>European heritage – possible contextual issues as design may not quite fit with heritage buildings around it</w:t>
      </w:r>
    </w:p>
    <w:p w14:paraId="70B800AD" w14:textId="77777777" w:rsidR="00096AED" w:rsidRDefault="00096AED" w:rsidP="00096AED">
      <w:pPr>
        <w:pStyle w:val="BodyText"/>
      </w:pPr>
      <w:r w:rsidRPr="00096AED">
        <w:rPr>
          <w:u w:val="single"/>
        </w:rPr>
        <w:t>Comment</w:t>
      </w:r>
      <w:r>
        <w:t>:</w:t>
      </w:r>
    </w:p>
    <w:p w14:paraId="5DFED080" w14:textId="77777777" w:rsidR="00096AED" w:rsidRDefault="000F1783" w:rsidP="00096AED">
      <w:pPr>
        <w:pStyle w:val="BodyText"/>
      </w:pPr>
      <w:r>
        <w:t>We consider that there is ample curtilage around the site to provide an acceptable buffer between the various buildings listed as heritage items in the vicinity such that it will not dominate, detract or compete with those heritage items. Increasing the setbacks and/or reducing the scale of the proposed buildings is considered unlikely to have any noticeable beneficial impact in terms of visual impact. The setting and views of those heritage items from the greater public domain (i.e Ross Street) will be unaffected by the proposed development.</w:t>
      </w:r>
    </w:p>
    <w:p w14:paraId="1391AED2" w14:textId="77777777" w:rsidR="00096AED" w:rsidRPr="00FF254E" w:rsidRDefault="00096AED" w:rsidP="00096AED">
      <w:pPr>
        <w:pStyle w:val="BodyText"/>
        <w:numPr>
          <w:ilvl w:val="0"/>
          <w:numId w:val="25"/>
        </w:numPr>
        <w:rPr>
          <w:b/>
          <w:i/>
        </w:rPr>
      </w:pPr>
      <w:r w:rsidRPr="00FF254E">
        <w:rPr>
          <w:b/>
          <w:i/>
        </w:rPr>
        <w:t>OEH concerns around removal of trees and retention of vegetation on the site</w:t>
      </w:r>
    </w:p>
    <w:p w14:paraId="56EC6C7A" w14:textId="77777777" w:rsidR="00096AED" w:rsidRDefault="00096AED" w:rsidP="00096AED">
      <w:pPr>
        <w:pStyle w:val="ListParagraph"/>
        <w:ind w:left="0"/>
      </w:pPr>
      <w:r w:rsidRPr="00096AED">
        <w:rPr>
          <w:u w:val="single"/>
        </w:rPr>
        <w:t>Comment</w:t>
      </w:r>
      <w:r>
        <w:t>:</w:t>
      </w:r>
    </w:p>
    <w:p w14:paraId="470A7B62" w14:textId="77777777" w:rsidR="00AA604B" w:rsidRDefault="00AA604B" w:rsidP="00096AED">
      <w:pPr>
        <w:pStyle w:val="BodyText"/>
      </w:pPr>
    </w:p>
    <w:p w14:paraId="782C2A20" w14:textId="77777777" w:rsidR="00FF254E" w:rsidRPr="00AA604B" w:rsidRDefault="00AA604B" w:rsidP="00096AED">
      <w:pPr>
        <w:pStyle w:val="BodyText"/>
      </w:pPr>
      <w:r w:rsidRPr="00AA604B">
        <w:t>T</w:t>
      </w:r>
      <w:r w:rsidR="00F7083C" w:rsidRPr="00AA604B">
        <w:t>his issue is addressed in more detail in Sections 5.6 and 5.1</w:t>
      </w:r>
      <w:r w:rsidR="000A3DFB" w:rsidRPr="00AA604B">
        <w:t>3 below. The arborist’s report submitted with the DA suggests that there is only one tree of significance on the site and it is being retained. Means of protecting the tree are outlined in the report and shall form part of the recommended consent conditions.</w:t>
      </w:r>
    </w:p>
    <w:p w14:paraId="5159116C" w14:textId="77777777" w:rsidR="000A3DFB" w:rsidRPr="00AA604B" w:rsidRDefault="000A3DFB" w:rsidP="00096AED">
      <w:pPr>
        <w:pStyle w:val="BodyText"/>
      </w:pPr>
      <w:r w:rsidRPr="00AA604B">
        <w:t xml:space="preserve">That tree, being a </w:t>
      </w:r>
      <w:r w:rsidRPr="00AA604B">
        <w:rPr>
          <w:i/>
          <w:iCs/>
        </w:rPr>
        <w:t xml:space="preserve">Eucalyptus largiflorens </w:t>
      </w:r>
      <w:r w:rsidRPr="00AA604B">
        <w:t>(Black Box), is located in the centre of the site between the ‘Nerve Centre’ and ‘Keeping Well’ buildings.</w:t>
      </w:r>
    </w:p>
    <w:p w14:paraId="60FE498E" w14:textId="77777777" w:rsidR="000A3DFB" w:rsidRPr="00AA604B" w:rsidRDefault="000A3DFB" w:rsidP="00096AED">
      <w:pPr>
        <w:pStyle w:val="BodyText"/>
      </w:pPr>
      <w:r w:rsidRPr="00AA604B">
        <w:t xml:space="preserve">According to the arborist’s report, the </w:t>
      </w:r>
      <w:r w:rsidRPr="00AA604B">
        <w:rPr>
          <w:i/>
        </w:rPr>
        <w:t>‘tree contains a basal wound to the south with advanced occlusion and deep wound margins indicative of likely Aboriginal cultural origin and therefore of Aboriginal Cultural Significance’</w:t>
      </w:r>
      <w:r w:rsidRPr="00AA604B">
        <w:t>.</w:t>
      </w:r>
    </w:p>
    <w:p w14:paraId="1658A6F4" w14:textId="77777777" w:rsidR="000A3DFB" w:rsidRPr="00AA604B" w:rsidRDefault="000A3DFB" w:rsidP="000A3DFB">
      <w:pPr>
        <w:pStyle w:val="BodyText"/>
        <w:rPr>
          <w:i/>
        </w:rPr>
      </w:pPr>
      <w:r w:rsidRPr="00AA604B">
        <w:t xml:space="preserve">The tree is </w:t>
      </w:r>
      <w:r w:rsidRPr="00AA604B">
        <w:rPr>
          <w:i/>
        </w:rPr>
        <w:t xml:space="preserve">‘to be retained and will be subject to a major encroachment as per AS4970 (2009) Section 3, 3.3.3 </w:t>
      </w:r>
      <w:r w:rsidRPr="00AA604B">
        <w:rPr>
          <w:i/>
          <w:iCs/>
        </w:rPr>
        <w:t xml:space="preserve">Major Encroachment </w:t>
      </w:r>
      <w:r w:rsidRPr="00AA604B">
        <w:rPr>
          <w:i/>
        </w:rPr>
        <w:t xml:space="preserve">from development works within &gt;10% of the radial area of the Tree Protection Zone. The TPZ encroachment is approximately 15% which should be sustainable subject to the application of the tree protection works per the Tree Protection Plan and will be mitigated by the use of </w:t>
      </w:r>
      <w:r w:rsidRPr="00AA604B">
        <w:rPr>
          <w:i/>
          <w:iCs/>
        </w:rPr>
        <w:t xml:space="preserve">tree sensitive </w:t>
      </w:r>
      <w:r w:rsidRPr="00AA604B">
        <w:rPr>
          <w:i/>
        </w:rPr>
        <w:t>pier footing for buildings and pedestrian ramps and to a lesser extent by unitary pavers as footpaths near the tree. There is no encroachment into the Structural Root Zones (SRZ) of the retained tree. Much of the soil around the tree appears to be uneven and some is expected to be aeolian sand with natural grade concealed. Therefore</w:t>
      </w:r>
      <w:r w:rsidR="009D27AF" w:rsidRPr="00AA604B">
        <w:rPr>
          <w:i/>
        </w:rPr>
        <w:t>,</w:t>
      </w:r>
      <w:r w:rsidRPr="00AA604B">
        <w:rPr>
          <w:i/>
        </w:rPr>
        <w:t xml:space="preserve"> excavation for paths north of the tree may have a reduced impact depending on the finished levels and subject to </w:t>
      </w:r>
      <w:r w:rsidRPr="00AA604B">
        <w:rPr>
          <w:i/>
          <w:iCs/>
        </w:rPr>
        <w:t xml:space="preserve">tree sensitive </w:t>
      </w:r>
      <w:r w:rsidRPr="00AA604B">
        <w:rPr>
          <w:i/>
        </w:rPr>
        <w:t xml:space="preserve">excavation. </w:t>
      </w:r>
    </w:p>
    <w:p w14:paraId="6209945D" w14:textId="77777777" w:rsidR="000A3DFB" w:rsidRPr="00AA604B" w:rsidRDefault="000A3DFB" w:rsidP="000A3DFB">
      <w:pPr>
        <w:pStyle w:val="BodyText"/>
        <w:rPr>
          <w:i/>
        </w:rPr>
      </w:pPr>
      <w:r w:rsidRPr="00AA604B">
        <w:rPr>
          <w:i/>
        </w:rPr>
        <w:t xml:space="preserve">The retention and protection of Tree 1 provides amenity and screening of views within the site subject to some minor pruning and other minor remedial works. The tree has an almost occluded trunk wound which is considered to have been historically modified by Aboriginal cultural activities and therefore is significant as an Aboriginal Scarred Tree. The Tree Protection Zone (TPZ) setbacks and protection specifications for </w:t>
      </w:r>
      <w:r w:rsidRPr="00AA604B">
        <w:rPr>
          <w:i/>
          <w:iCs/>
        </w:rPr>
        <w:t xml:space="preserve">the tree </w:t>
      </w:r>
      <w:r w:rsidRPr="00AA604B">
        <w:rPr>
          <w:i/>
        </w:rPr>
        <w:t xml:space="preserve">provided in Appendix H - Tree Protection Plan are satisfactory to retain and protect </w:t>
      </w:r>
      <w:r w:rsidRPr="00AA604B">
        <w:rPr>
          <w:i/>
          <w:iCs/>
        </w:rPr>
        <w:t>the tree’</w:t>
      </w:r>
      <w:r w:rsidRPr="00AA604B">
        <w:rPr>
          <w:i/>
        </w:rPr>
        <w:t>.</w:t>
      </w:r>
    </w:p>
    <w:p w14:paraId="248D96B1" w14:textId="77777777" w:rsidR="00096AED" w:rsidRPr="00FF254E" w:rsidRDefault="00096AED" w:rsidP="00096AED">
      <w:pPr>
        <w:pStyle w:val="BodyText"/>
        <w:numPr>
          <w:ilvl w:val="0"/>
          <w:numId w:val="25"/>
        </w:numPr>
        <w:rPr>
          <w:b/>
          <w:i/>
        </w:rPr>
      </w:pPr>
      <w:r w:rsidRPr="00FF254E">
        <w:rPr>
          <w:b/>
          <w:i/>
        </w:rPr>
        <w:t>Bushfire prone land and APZ provisions</w:t>
      </w:r>
    </w:p>
    <w:p w14:paraId="66DAD525" w14:textId="77777777" w:rsidR="00096AED" w:rsidRDefault="00096AED" w:rsidP="00096AED">
      <w:pPr>
        <w:pStyle w:val="BodyText"/>
      </w:pPr>
      <w:r w:rsidRPr="00096AED">
        <w:rPr>
          <w:u w:val="single"/>
        </w:rPr>
        <w:t>Comment</w:t>
      </w:r>
      <w:r>
        <w:t>:</w:t>
      </w:r>
    </w:p>
    <w:p w14:paraId="742FEC44" w14:textId="77777777" w:rsidR="00096AED" w:rsidRPr="00AA604B" w:rsidRDefault="00925C51" w:rsidP="00096AED">
      <w:pPr>
        <w:pStyle w:val="BodyText"/>
      </w:pPr>
      <w:r w:rsidRPr="00AA604B">
        <w:t>Bushfire matters are discussed in Section 5.9 of this report.</w:t>
      </w:r>
    </w:p>
    <w:p w14:paraId="6D87E842" w14:textId="77777777" w:rsidR="00096AED" w:rsidRPr="00FF254E" w:rsidRDefault="00096AED" w:rsidP="00096AED">
      <w:pPr>
        <w:pStyle w:val="BodyText"/>
        <w:numPr>
          <w:ilvl w:val="0"/>
          <w:numId w:val="25"/>
        </w:numPr>
        <w:rPr>
          <w:b/>
          <w:i/>
        </w:rPr>
      </w:pPr>
      <w:r w:rsidRPr="00FF254E">
        <w:rPr>
          <w:b/>
          <w:i/>
        </w:rPr>
        <w:lastRenderedPageBreak/>
        <w:t>Staging of development – confirmation that development is not being staged. The panel requested the amendment of the plan accompanying the application to delete references to staging</w:t>
      </w:r>
    </w:p>
    <w:p w14:paraId="11E61A0D" w14:textId="77777777" w:rsidR="00096AED" w:rsidRDefault="00096AED" w:rsidP="00096AED">
      <w:pPr>
        <w:pStyle w:val="ListParagraph"/>
        <w:ind w:left="0"/>
      </w:pPr>
      <w:r w:rsidRPr="00096AED">
        <w:rPr>
          <w:u w:val="single"/>
        </w:rPr>
        <w:t>Comment</w:t>
      </w:r>
      <w:r>
        <w:t>:</w:t>
      </w:r>
    </w:p>
    <w:p w14:paraId="438211C1" w14:textId="77777777" w:rsidR="00FF254E" w:rsidRDefault="00FF254E" w:rsidP="00096AED">
      <w:pPr>
        <w:pStyle w:val="ListParagraph"/>
        <w:ind w:left="0"/>
      </w:pPr>
    </w:p>
    <w:p w14:paraId="6FEFF952" w14:textId="77777777" w:rsidR="00096AED" w:rsidRDefault="00FF254E" w:rsidP="00096AED">
      <w:pPr>
        <w:pStyle w:val="BodyText"/>
      </w:pPr>
      <w:r>
        <w:t>The applicant amended the site plan which made references to staging of the development. The new plan, issue B is dated 12 April, 2022 and contains no such references.</w:t>
      </w:r>
    </w:p>
    <w:p w14:paraId="643CA151" w14:textId="77777777" w:rsidR="00096AED" w:rsidRPr="00FF254E" w:rsidRDefault="00096AED" w:rsidP="00096AED">
      <w:pPr>
        <w:pStyle w:val="BodyText"/>
        <w:numPr>
          <w:ilvl w:val="0"/>
          <w:numId w:val="25"/>
        </w:numPr>
        <w:rPr>
          <w:b/>
          <w:i/>
        </w:rPr>
      </w:pPr>
      <w:r w:rsidRPr="00FF254E">
        <w:rPr>
          <w:b/>
          <w:i/>
        </w:rPr>
        <w:t xml:space="preserve">Specification of the requirements being sought by Council through the </w:t>
      </w:r>
      <w:r w:rsidR="00412BD1">
        <w:rPr>
          <w:b/>
          <w:i/>
        </w:rPr>
        <w:t>Voluntary Planning Agreement</w:t>
      </w:r>
      <w:r w:rsidRPr="00FF254E">
        <w:rPr>
          <w:b/>
          <w:i/>
        </w:rPr>
        <w:t xml:space="preserve"> (kerb and gutter, bitumen etc)</w:t>
      </w:r>
    </w:p>
    <w:p w14:paraId="05059B3D" w14:textId="77777777" w:rsidR="00096AED" w:rsidRDefault="00096AED" w:rsidP="00096AED">
      <w:pPr>
        <w:pStyle w:val="BodyText"/>
      </w:pPr>
      <w:r w:rsidRPr="00096AED">
        <w:rPr>
          <w:u w:val="single"/>
        </w:rPr>
        <w:t>Comment</w:t>
      </w:r>
      <w:r>
        <w:t>:</w:t>
      </w:r>
    </w:p>
    <w:p w14:paraId="43211B79" w14:textId="77777777" w:rsidR="00096AED" w:rsidRDefault="00A349EE" w:rsidP="00096AED">
      <w:pPr>
        <w:pStyle w:val="BodyText"/>
      </w:pPr>
      <w:r>
        <w:t>The draft conditions of consent refer to the Voluntary Planning Agreement and vice versa. The specifics of the infrastructure works include the following:</w:t>
      </w:r>
    </w:p>
    <w:p w14:paraId="6827C027" w14:textId="77777777" w:rsidR="00A349EE" w:rsidRPr="00A349EE" w:rsidRDefault="00A349EE" w:rsidP="00FF254E">
      <w:pPr>
        <w:pStyle w:val="ListParagraph"/>
        <w:widowControl w:val="0"/>
        <w:numPr>
          <w:ilvl w:val="0"/>
          <w:numId w:val="26"/>
        </w:numPr>
        <w:tabs>
          <w:tab w:val="left" w:pos="-1440"/>
        </w:tabs>
        <w:rPr>
          <w:rFonts w:ascii="Arial" w:hAnsi="Arial" w:cs="Arial"/>
        </w:rPr>
      </w:pPr>
      <w:r w:rsidRPr="00A349EE">
        <w:rPr>
          <w:rFonts w:ascii="Arial" w:hAnsi="Arial" w:cs="Arial"/>
        </w:rPr>
        <w:t>A minimum of 16 car parking spaces are required to be provided, being 12 spaces on Bonney Street as part of the Voluntary Planning Agreement and 4 car parking spaces on the site. These are to be designed having minimum internal clear dimensions in accordance with Australian Standard 2890.1 as follows:</w:t>
      </w:r>
    </w:p>
    <w:p w14:paraId="58039825" w14:textId="77777777" w:rsidR="00A349EE" w:rsidRDefault="00A349EE" w:rsidP="00FF254E">
      <w:pPr>
        <w:pStyle w:val="ListBullet"/>
        <w:numPr>
          <w:ilvl w:val="4"/>
          <w:numId w:val="30"/>
        </w:numPr>
        <w:tabs>
          <w:tab w:val="left" w:pos="720"/>
        </w:tabs>
        <w:ind w:left="2268"/>
        <w:rPr>
          <w:rFonts w:ascii="Arial" w:hAnsi="Arial" w:cs="Arial"/>
        </w:rPr>
      </w:pPr>
      <w:r>
        <w:rPr>
          <w:rFonts w:ascii="Arial" w:hAnsi="Arial" w:cs="Arial"/>
        </w:rPr>
        <w:t>2.6 m x 5.4 m</w:t>
      </w:r>
    </w:p>
    <w:p w14:paraId="1CF0A693" w14:textId="77777777" w:rsidR="00A349EE" w:rsidRDefault="00A349EE" w:rsidP="00FF254E">
      <w:pPr>
        <w:pStyle w:val="ListBullet"/>
        <w:numPr>
          <w:ilvl w:val="5"/>
          <w:numId w:val="31"/>
        </w:numPr>
        <w:tabs>
          <w:tab w:val="left" w:pos="720"/>
        </w:tabs>
        <w:ind w:left="2268"/>
        <w:rPr>
          <w:rFonts w:ascii="Arial" w:hAnsi="Arial" w:cs="Arial"/>
        </w:rPr>
      </w:pPr>
      <w:r>
        <w:rPr>
          <w:rFonts w:ascii="Arial" w:hAnsi="Arial" w:cs="Arial"/>
        </w:rPr>
        <w:t xml:space="preserve">Disabled </w:t>
      </w:r>
      <w:r w:rsidR="00AA604B">
        <w:rPr>
          <w:rFonts w:ascii="Arial" w:hAnsi="Arial" w:cs="Arial"/>
        </w:rPr>
        <w:t>c</w:t>
      </w:r>
      <w:r>
        <w:rPr>
          <w:rFonts w:ascii="Arial" w:hAnsi="Arial" w:cs="Arial"/>
        </w:rPr>
        <w:t xml:space="preserve">ar </w:t>
      </w:r>
      <w:r w:rsidR="00AA604B">
        <w:rPr>
          <w:rFonts w:ascii="Arial" w:hAnsi="Arial" w:cs="Arial"/>
        </w:rPr>
        <w:t>s</w:t>
      </w:r>
      <w:r>
        <w:rPr>
          <w:rFonts w:ascii="Arial" w:hAnsi="Arial" w:cs="Arial"/>
        </w:rPr>
        <w:t>pace: 2.6 m x 5.5 m (plus shared zone)</w:t>
      </w:r>
    </w:p>
    <w:p w14:paraId="573314CA" w14:textId="77777777" w:rsidR="00A349EE" w:rsidRDefault="00A349EE" w:rsidP="00FF254E">
      <w:pPr>
        <w:pStyle w:val="BodyTextIndent2"/>
        <w:widowControl w:val="0"/>
        <w:numPr>
          <w:ilvl w:val="0"/>
          <w:numId w:val="26"/>
        </w:numPr>
        <w:rPr>
          <w:rFonts w:ascii="Arial" w:hAnsi="Arial" w:cs="Arial"/>
        </w:rPr>
      </w:pPr>
      <w:r>
        <w:rPr>
          <w:rFonts w:ascii="Arial" w:hAnsi="Arial" w:cs="Arial"/>
        </w:rPr>
        <w:t>All internal driveways and other paved areas shall be designed to provide continuous surface drainage flow paths to approved points of discharge.</w:t>
      </w:r>
    </w:p>
    <w:p w14:paraId="5DB17CD9" w14:textId="77777777" w:rsidR="00317F09" w:rsidRDefault="00317F09" w:rsidP="00FF254E">
      <w:pPr>
        <w:pStyle w:val="BodyTextIndent2"/>
        <w:widowControl w:val="0"/>
        <w:numPr>
          <w:ilvl w:val="0"/>
          <w:numId w:val="26"/>
        </w:numPr>
        <w:rPr>
          <w:rFonts w:ascii="Arial" w:hAnsi="Arial" w:cs="Arial"/>
        </w:rPr>
      </w:pPr>
      <w:r>
        <w:rPr>
          <w:rFonts w:ascii="Arial" w:hAnsi="Arial" w:cs="Arial"/>
        </w:rPr>
        <w:t xml:space="preserve">The layout </w:t>
      </w:r>
      <w:r w:rsidRPr="00317F09">
        <w:rPr>
          <w:rFonts w:ascii="Arial" w:hAnsi="Arial" w:cs="Arial"/>
        </w:rPr>
        <w:t>of the proposed car parking areas associated with the subject development (including, driveways, grades, turn paths, sight distance requirements, aisle widths, aisle lengths, and parking bay dimensions) are to be designed in accordance with Australian Standard 2890.1 – 2004 and AS 2890.2 – 2002 for heavy vehicles</w:t>
      </w:r>
    </w:p>
    <w:p w14:paraId="7D0F6725" w14:textId="77777777" w:rsidR="00A349EE" w:rsidRDefault="00A349EE" w:rsidP="00FF254E">
      <w:pPr>
        <w:pStyle w:val="BodyText"/>
        <w:numPr>
          <w:ilvl w:val="0"/>
          <w:numId w:val="25"/>
        </w:numPr>
        <w:ind w:left="1418"/>
      </w:pPr>
      <w:r>
        <w:t>Proposed new roads (i.e the partial construction of Bonney Street) shall be designed and constructed as follows: width – 40m, length- 50m, formation 3.5m-6.0m-3.5m Traffic loading N(E.S.A) – 5 x 104.</w:t>
      </w:r>
    </w:p>
    <w:p w14:paraId="52F5003C" w14:textId="77777777" w:rsidR="00FF254E" w:rsidRPr="00FF254E" w:rsidRDefault="00FF254E" w:rsidP="00FF254E">
      <w:pPr>
        <w:pStyle w:val="BodyText"/>
        <w:numPr>
          <w:ilvl w:val="0"/>
          <w:numId w:val="25"/>
        </w:numPr>
        <w:ind w:left="1418"/>
      </w:pPr>
      <w:r w:rsidRPr="00FF254E">
        <w:t>The works within the Bonney Street road reserve are to be offset a minimum of 3.5m from the south eastern boundary to provide a verge area.</w:t>
      </w:r>
    </w:p>
    <w:p w14:paraId="1C16D923" w14:textId="77777777" w:rsidR="00A349EE" w:rsidRDefault="00FF254E" w:rsidP="00FF254E">
      <w:pPr>
        <w:pStyle w:val="BodyText"/>
        <w:numPr>
          <w:ilvl w:val="0"/>
          <w:numId w:val="25"/>
        </w:numPr>
        <w:ind w:left="1418"/>
      </w:pPr>
      <w:r w:rsidRPr="00FF254E">
        <w:t>A 1.5m concrete footpath is to be constructed within the verge from Ross Street to the car park area</w:t>
      </w:r>
    </w:p>
    <w:p w14:paraId="3394D74D" w14:textId="77777777" w:rsidR="00FF254E" w:rsidRDefault="00FF254E" w:rsidP="00FF254E">
      <w:pPr>
        <w:pStyle w:val="BodyText"/>
        <w:numPr>
          <w:ilvl w:val="0"/>
          <w:numId w:val="29"/>
        </w:numPr>
        <w:ind w:left="1418"/>
      </w:pPr>
      <w:r w:rsidRPr="00FF254E">
        <w:t>Provide a barrier kerb adjacent to the verge</w:t>
      </w:r>
    </w:p>
    <w:p w14:paraId="701478AA" w14:textId="77777777" w:rsidR="00FF254E" w:rsidRDefault="00FF254E" w:rsidP="00FF254E">
      <w:pPr>
        <w:pStyle w:val="BodyText"/>
        <w:numPr>
          <w:ilvl w:val="0"/>
          <w:numId w:val="29"/>
        </w:numPr>
        <w:ind w:left="1418"/>
      </w:pPr>
      <w:r w:rsidRPr="00FF254E">
        <w:t>Provide a minimum 3.0m wide table drain between the paved carpark and northern boundary including suitable scour protection against batters</w:t>
      </w:r>
    </w:p>
    <w:p w14:paraId="5C660DD6" w14:textId="77777777" w:rsidR="00FF254E" w:rsidRDefault="00FF254E" w:rsidP="00FF254E">
      <w:pPr>
        <w:pStyle w:val="BodyText"/>
        <w:numPr>
          <w:ilvl w:val="0"/>
          <w:numId w:val="29"/>
        </w:numPr>
        <w:ind w:left="1418"/>
      </w:pPr>
      <w:r>
        <w:t>P</w:t>
      </w:r>
      <w:r w:rsidRPr="00FF254E">
        <w:t>rovide a pipe through the proposed carpark fill batter across the bend to collect the upstream table drain and convey this through the site. Size this pipe to take all the flow from Bonney Street and the flow that discharges off Ross Street in a 1</w:t>
      </w:r>
      <w:r w:rsidR="0057522D">
        <w:t xml:space="preserve"> in 100 years flood</w:t>
      </w:r>
      <w:r w:rsidRPr="00FF254E">
        <w:t xml:space="preserve"> event, with a minimum 375 mm pipe</w:t>
      </w:r>
    </w:p>
    <w:p w14:paraId="522DC327" w14:textId="77777777" w:rsidR="00FF254E" w:rsidRDefault="00FF254E" w:rsidP="00FF254E">
      <w:pPr>
        <w:pStyle w:val="BodyText"/>
        <w:numPr>
          <w:ilvl w:val="0"/>
          <w:numId w:val="29"/>
        </w:numPr>
        <w:ind w:left="1418"/>
      </w:pPr>
      <w:r>
        <w:t>P</w:t>
      </w:r>
      <w:r w:rsidRPr="00FF254E">
        <w:t>rovide an additional table drain TD3 that extends from the pipe above along the north-west boundary and extending to Bonney Street to align with the future realignment of the discharge from Ross Street</w:t>
      </w:r>
    </w:p>
    <w:p w14:paraId="40A48509" w14:textId="77777777" w:rsidR="00FF254E" w:rsidRDefault="00FF254E" w:rsidP="00FF254E">
      <w:pPr>
        <w:pStyle w:val="BodyText"/>
        <w:numPr>
          <w:ilvl w:val="0"/>
          <w:numId w:val="29"/>
        </w:numPr>
        <w:ind w:left="1418"/>
      </w:pPr>
      <w:r>
        <w:lastRenderedPageBreak/>
        <w:t>P</w:t>
      </w:r>
      <w:r w:rsidRPr="00FF254E">
        <w:t xml:space="preserve">rovide a new detail for </w:t>
      </w:r>
      <w:r w:rsidR="0057522D">
        <w:t xml:space="preserve">table drain </w:t>
      </w:r>
      <w:r w:rsidRPr="00FF254E">
        <w:t>TD3 sized to take all the flow from Bonney Street and the flow that discharges off Ross Street in a 1</w:t>
      </w:r>
      <w:r w:rsidR="00412BD1">
        <w:t xml:space="preserve"> in 10 years</w:t>
      </w:r>
      <w:r w:rsidR="0057522D">
        <w:t xml:space="preserve"> flood </w:t>
      </w:r>
      <w:r w:rsidRPr="00FF254E">
        <w:t>event. Provide calculations</w:t>
      </w:r>
    </w:p>
    <w:p w14:paraId="02908A42" w14:textId="77777777" w:rsidR="00FF254E" w:rsidRDefault="00FF254E" w:rsidP="00FF254E">
      <w:pPr>
        <w:pStyle w:val="BodyText"/>
        <w:numPr>
          <w:ilvl w:val="0"/>
          <w:numId w:val="29"/>
        </w:numPr>
        <w:ind w:left="1418"/>
      </w:pPr>
      <w:r w:rsidRPr="00FF254E">
        <w:t>All required internal driveways and car parking spaces shall be line-marked, sealed with a hard standing, all-weather material to a standard suitable for the intended purpose</w:t>
      </w:r>
    </w:p>
    <w:p w14:paraId="7E14AD3C" w14:textId="77777777" w:rsidR="00FF254E" w:rsidRDefault="00FF254E" w:rsidP="00FF254E">
      <w:pPr>
        <w:pStyle w:val="BodyText"/>
        <w:numPr>
          <w:ilvl w:val="0"/>
          <w:numId w:val="29"/>
        </w:numPr>
        <w:ind w:left="1418"/>
      </w:pPr>
      <w:r w:rsidRPr="00FF254E">
        <w:t>Prior to the issuing of an occupation certificate, any relevant requirements under the Voluntary Planning Agreement made between Central Darling Shire Council and the Maari Ma Health Aboriginal Corporation shall be satisfactorily completed. This condition will not be satisfied until Central Darling Shire Council has given its written certification to this effect</w:t>
      </w:r>
    </w:p>
    <w:p w14:paraId="7A46DDE4" w14:textId="77777777" w:rsidR="00096AED" w:rsidRPr="00FF254E" w:rsidRDefault="00096AED" w:rsidP="00096AED">
      <w:pPr>
        <w:pStyle w:val="BodyText"/>
        <w:numPr>
          <w:ilvl w:val="0"/>
          <w:numId w:val="25"/>
        </w:numPr>
        <w:rPr>
          <w:b/>
          <w:i/>
        </w:rPr>
      </w:pPr>
      <w:r w:rsidRPr="00FF254E">
        <w:rPr>
          <w:b/>
          <w:i/>
        </w:rPr>
        <w:t>Assessment report to provide further background to planning history of the site.</w:t>
      </w:r>
    </w:p>
    <w:p w14:paraId="0BBB77C8" w14:textId="77777777" w:rsidR="00096AED" w:rsidRDefault="00096AED" w:rsidP="0051452A">
      <w:pPr>
        <w:pStyle w:val="BodyText"/>
      </w:pPr>
      <w:r w:rsidRPr="00096AED">
        <w:rPr>
          <w:u w:val="single"/>
        </w:rPr>
        <w:t>Comment</w:t>
      </w:r>
      <w:r>
        <w:t>:</w:t>
      </w:r>
    </w:p>
    <w:p w14:paraId="31EEE230" w14:textId="77777777" w:rsidR="0051452A" w:rsidRDefault="00FF254E" w:rsidP="0051452A">
      <w:pPr>
        <w:pStyle w:val="BodyText"/>
      </w:pPr>
      <w:r>
        <w:t>There is no notable planning history to the site. Th</w:t>
      </w:r>
      <w:r w:rsidR="00925C51">
        <w:t>is</w:t>
      </w:r>
      <w:r>
        <w:t xml:space="preserve"> planning report contains various references to the potential for contamination, ownership and other relevant matters.</w:t>
      </w:r>
      <w:r w:rsidR="00317F09">
        <w:t xml:space="preserve"> </w:t>
      </w:r>
    </w:p>
    <w:p w14:paraId="34681D8F" w14:textId="77777777" w:rsidR="00675A8C" w:rsidRDefault="00675A8C" w:rsidP="0051452A">
      <w:pPr>
        <w:pStyle w:val="BodyText"/>
      </w:pPr>
      <w:r>
        <w:t>This 19</w:t>
      </w:r>
      <w:r w:rsidR="0069230D">
        <w:t>70</w:t>
      </w:r>
      <w:r>
        <w:t xml:space="preserve"> </w:t>
      </w:r>
      <w:r w:rsidR="0069230D">
        <w:t xml:space="preserve">display with map depicts the site adjacent to the power and water supply and hospital. It appears evident that </w:t>
      </w:r>
      <w:r w:rsidR="00BF1555">
        <w:t>where the</w:t>
      </w:r>
      <w:r w:rsidR="0069230D">
        <w:t xml:space="preserve"> existing pump station </w:t>
      </w:r>
      <w:r w:rsidR="00BF1555">
        <w:t xml:space="preserve">is located, there </w:t>
      </w:r>
      <w:r w:rsidR="0069230D">
        <w:t xml:space="preserve">was once a more substantial building. </w:t>
      </w:r>
    </w:p>
    <w:p w14:paraId="1942D3CA" w14:textId="77777777" w:rsidR="0069230D" w:rsidRDefault="0069230D" w:rsidP="0051452A">
      <w:pPr>
        <w:pStyle w:val="BodyText"/>
      </w:pPr>
      <w:r w:rsidRPr="0069230D">
        <w:rPr>
          <w:noProof/>
        </w:rPr>
        <w:drawing>
          <wp:inline distT="0" distB="0" distL="0" distR="0" wp14:anchorId="44845F93" wp14:editId="25537181">
            <wp:extent cx="5190820" cy="288570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6936" cy="2905782"/>
                    </a:xfrm>
                    <a:prstGeom prst="rect">
                      <a:avLst/>
                    </a:prstGeom>
                  </pic:spPr>
                </pic:pic>
              </a:graphicData>
            </a:graphic>
          </wp:inline>
        </w:drawing>
      </w:r>
    </w:p>
    <w:p w14:paraId="33C3A1E2" w14:textId="77777777" w:rsidR="0069230D" w:rsidRPr="0069230D" w:rsidRDefault="0069230D" w:rsidP="0051452A">
      <w:pPr>
        <w:pStyle w:val="BodyText"/>
        <w:rPr>
          <w:sz w:val="16"/>
          <w:szCs w:val="16"/>
        </w:rPr>
      </w:pPr>
      <w:r w:rsidRPr="0069230D">
        <w:rPr>
          <w:rFonts w:ascii="Arial" w:hAnsi="Arial" w:cs="Arial"/>
          <w:color w:val="333333"/>
          <w:sz w:val="16"/>
          <w:szCs w:val="16"/>
          <w:shd w:val="clear" w:color="auto" w:fill="FFFFFF"/>
        </w:rPr>
        <w:t>Stacey, Wes (Wesley), 1941- (National Library of Australia)</w:t>
      </w:r>
    </w:p>
    <w:p w14:paraId="73262919" w14:textId="77777777" w:rsidR="0069230D" w:rsidRDefault="0010444A" w:rsidP="0051452A">
      <w:pPr>
        <w:pStyle w:val="BodyText"/>
      </w:pPr>
      <w:r>
        <w:rPr>
          <w:noProof/>
        </w:rPr>
        <w:lastRenderedPageBreak/>
        <mc:AlternateContent>
          <mc:Choice Requires="wps">
            <w:drawing>
              <wp:anchor distT="0" distB="0" distL="114300" distR="114300" simplePos="0" relativeHeight="251666432" behindDoc="0" locked="0" layoutInCell="1" allowOverlap="1" wp14:anchorId="0D36394F" wp14:editId="74413E33">
                <wp:simplePos x="0" y="0"/>
                <wp:positionH relativeFrom="column">
                  <wp:posOffset>2023109</wp:posOffset>
                </wp:positionH>
                <wp:positionV relativeFrom="paragraph">
                  <wp:posOffset>1957589</wp:posOffset>
                </wp:positionV>
                <wp:extent cx="653143" cy="2101932"/>
                <wp:effectExtent l="76200" t="38100" r="71120" b="69850"/>
                <wp:wrapNone/>
                <wp:docPr id="28" name="Straight Arrow Connector 28"/>
                <wp:cNvGraphicFramePr/>
                <a:graphic xmlns:a="http://schemas.openxmlformats.org/drawingml/2006/main">
                  <a:graphicData uri="http://schemas.microsoft.com/office/word/2010/wordprocessingShape">
                    <wps:wsp>
                      <wps:cNvCnPr/>
                      <wps:spPr>
                        <a:xfrm flipH="1" flipV="1">
                          <a:off x="0" y="0"/>
                          <a:ext cx="653143" cy="2101932"/>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C0EF2C" id="Straight Arrow Connector 28" o:spid="_x0000_s1026" type="#_x0000_t32" style="position:absolute;margin-left:159.3pt;margin-top:154.15pt;width:51.45pt;height:165.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" strokecolor="#fddb03 [3209]" strokeweight="3pt">
                <v:stroke endarrow="block"/>
                <v:shadow on="t" color="black" opacity="22937f" origin=",.5" offset="0,.63889mm"/>
              </v:shape>
            </w:pict>
          </mc:Fallback>
        </mc:AlternateContent>
      </w:r>
      <w:r w:rsidR="00F3055A" w:rsidRPr="00F3055A">
        <w:rPr>
          <w:noProof/>
        </w:rPr>
        <w:drawing>
          <wp:inline distT="0" distB="0" distL="0" distR="0" wp14:anchorId="05FC14B4" wp14:editId="32B2FFB4">
            <wp:extent cx="5484850" cy="3984171"/>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07307" cy="4000484"/>
                    </a:xfrm>
                    <a:prstGeom prst="rect">
                      <a:avLst/>
                    </a:prstGeom>
                  </pic:spPr>
                </pic:pic>
              </a:graphicData>
            </a:graphic>
          </wp:inline>
        </w:drawing>
      </w:r>
    </w:p>
    <w:p w14:paraId="1A03A7A9" w14:textId="77777777" w:rsidR="00F3055A" w:rsidRPr="00AA604B" w:rsidRDefault="0010444A" w:rsidP="0051452A">
      <w:pPr>
        <w:pStyle w:val="BodyText"/>
        <w:rPr>
          <w:sz w:val="16"/>
          <w:szCs w:val="16"/>
        </w:rPr>
      </w:pPr>
      <w:r w:rsidRPr="00AA604B">
        <w:rPr>
          <w:sz w:val="16"/>
          <w:szCs w:val="16"/>
        </w:rPr>
        <w:t xml:space="preserve">NSW Land Registry Services Parish Map. </w:t>
      </w:r>
      <w:r w:rsidR="00AA604B">
        <w:rPr>
          <w:sz w:val="16"/>
          <w:szCs w:val="16"/>
        </w:rPr>
        <w:tab/>
      </w:r>
      <w:r w:rsidR="00AA604B">
        <w:rPr>
          <w:sz w:val="16"/>
          <w:szCs w:val="16"/>
        </w:rPr>
        <w:tab/>
      </w:r>
      <w:r w:rsidRPr="00AA604B">
        <w:rPr>
          <w:sz w:val="16"/>
          <w:szCs w:val="16"/>
        </w:rPr>
        <w:t xml:space="preserve">Site </w:t>
      </w:r>
    </w:p>
    <w:p w14:paraId="1943B060" w14:textId="77777777" w:rsidR="005C307A" w:rsidRPr="00B62066" w:rsidRDefault="0051452A" w:rsidP="005C307A">
      <w:pPr>
        <w:pStyle w:val="BodyText"/>
        <w:rPr>
          <w:b/>
        </w:rPr>
      </w:pPr>
      <w:r>
        <w:rPr>
          <w:b/>
        </w:rPr>
        <w:t>5.3</w:t>
      </w:r>
      <w:r>
        <w:rPr>
          <w:b/>
        </w:rPr>
        <w:tab/>
      </w:r>
      <w:r w:rsidR="005C307A" w:rsidRPr="00B62066">
        <w:rPr>
          <w:b/>
        </w:rPr>
        <w:t>Built form and urban design</w:t>
      </w:r>
    </w:p>
    <w:p w14:paraId="54D20C45" w14:textId="77777777" w:rsidR="003C0A41" w:rsidRDefault="003C0A41" w:rsidP="003C0A41">
      <w:pPr>
        <w:pStyle w:val="BodyText"/>
      </w:pPr>
      <w:r>
        <w:t>The design of the building displays a modern appearance, with a scale and colour scheme that is sympathetic to the nearby items of environmental heritage</w:t>
      </w:r>
      <w:r w:rsidR="00AA712E">
        <w:t xml:space="preserve"> and to the cultural characteristics of the town</w:t>
      </w:r>
      <w:r>
        <w:t xml:space="preserve">. The built form </w:t>
      </w:r>
      <w:r w:rsidR="0057522D">
        <w:t>will c</w:t>
      </w:r>
      <w:r>
        <w:t>omprise</w:t>
      </w:r>
      <w:r w:rsidR="0057522D">
        <w:t xml:space="preserve"> of</w:t>
      </w:r>
      <w:r>
        <w:t xml:space="preserve"> 3 main elements, each being a single storey structure raised above ground level on </w:t>
      </w:r>
      <w:r w:rsidR="0057522D">
        <w:t>steel columns</w:t>
      </w:r>
      <w:r>
        <w:t>.</w:t>
      </w:r>
      <w:r w:rsidR="0057522D">
        <w:t xml:space="preserve"> These buildings will be constructed with fibre cement and metal wall sheeting and metal roofing, with cypress pine and fibreglass mesh decking and decorative metal screens and panels.</w:t>
      </w:r>
    </w:p>
    <w:p w14:paraId="192D9227" w14:textId="77777777" w:rsidR="003C0A41" w:rsidRDefault="003C0A41" w:rsidP="003C0A41">
      <w:pPr>
        <w:pStyle w:val="BodyText"/>
      </w:pPr>
      <w:r>
        <w:t xml:space="preserve">The site is not subject to building envelop </w:t>
      </w:r>
      <w:r w:rsidR="00AA712E">
        <w:t>development standards or controls</w:t>
      </w:r>
      <w:r>
        <w:t xml:space="preserve"> such as height or </w:t>
      </w:r>
      <w:r w:rsidR="0057522D">
        <w:t>floorspace ratio</w:t>
      </w:r>
      <w:r>
        <w:t xml:space="preserve">. The </w:t>
      </w:r>
      <w:r w:rsidR="00AA712E">
        <w:t xml:space="preserve">maximum height of the buildings </w:t>
      </w:r>
      <w:r w:rsidR="00A94505">
        <w:t xml:space="preserve">(measured from existing ground level to the highest point of the building) </w:t>
      </w:r>
      <w:r w:rsidR="00AA712E">
        <w:t>is approximately 7.5m, with the bulk of the development being less than 7m</w:t>
      </w:r>
      <w:r w:rsidR="0057522D">
        <w:t xml:space="preserve"> as structures will be on metal columns with openings underneath</w:t>
      </w:r>
      <w:r w:rsidR="00AA712E">
        <w:t xml:space="preserve">. This </w:t>
      </w:r>
      <w:r w:rsidR="0057522D">
        <w:t xml:space="preserve">height </w:t>
      </w:r>
      <w:r w:rsidR="00AA712E">
        <w:t>varies due to the slope of the land</w:t>
      </w:r>
      <w:r w:rsidR="0057522D">
        <w:t>, the height of the columns</w:t>
      </w:r>
      <w:r w:rsidR="00AA712E">
        <w:t xml:space="preserve"> and the pitch of the roof in parts.</w:t>
      </w:r>
    </w:p>
    <w:p w14:paraId="044CA8E7" w14:textId="77777777" w:rsidR="00AA712E" w:rsidRPr="00A00BA5" w:rsidRDefault="00AA712E" w:rsidP="003C0A41">
      <w:pPr>
        <w:pStyle w:val="BodyText"/>
      </w:pPr>
      <w:r>
        <w:t>We have concluded that the built form and design of the proposal is acceptable for the site.</w:t>
      </w:r>
    </w:p>
    <w:p w14:paraId="0BF86B61" w14:textId="77777777" w:rsidR="005C307A" w:rsidRPr="00B62066" w:rsidRDefault="0051452A" w:rsidP="005C307A">
      <w:pPr>
        <w:pStyle w:val="BodyText"/>
        <w:rPr>
          <w:b/>
        </w:rPr>
      </w:pPr>
      <w:r>
        <w:rPr>
          <w:b/>
        </w:rPr>
        <w:t>5.4</w:t>
      </w:r>
      <w:r>
        <w:rPr>
          <w:b/>
        </w:rPr>
        <w:tab/>
      </w:r>
      <w:r w:rsidR="005C307A" w:rsidRPr="00B62066">
        <w:rPr>
          <w:b/>
        </w:rPr>
        <w:t xml:space="preserve">Aboriginal </w:t>
      </w:r>
      <w:r w:rsidR="00B62066">
        <w:rPr>
          <w:b/>
        </w:rPr>
        <w:t xml:space="preserve">&amp; Torres Strait Islander </w:t>
      </w:r>
      <w:r w:rsidR="005C307A" w:rsidRPr="00B62066">
        <w:rPr>
          <w:b/>
        </w:rPr>
        <w:t>Heritage</w:t>
      </w:r>
    </w:p>
    <w:p w14:paraId="543C2A53" w14:textId="77777777" w:rsidR="005C307A" w:rsidRDefault="00A94505" w:rsidP="005C307A">
      <w:pPr>
        <w:pStyle w:val="BodyText"/>
      </w:pPr>
      <w:r>
        <w:t>An Aboriginal Due Diligence Assessment was prepared by Eco Logical Australia and dated 21 April, 2021. This was based on a site inspection by an archaeologist to determine whether any Aboriginal objects are present on the site and to assess the archaeological potential of the study area.</w:t>
      </w:r>
    </w:p>
    <w:p w14:paraId="233093F0" w14:textId="77777777" w:rsidR="00A94505" w:rsidRDefault="00A94505" w:rsidP="005C307A">
      <w:pPr>
        <w:pStyle w:val="BodyText"/>
      </w:pPr>
      <w:r>
        <w:t xml:space="preserve">The study concluded that Aboriginal objects were found within the study area and that the proposed works will have the potential to impact Aboriginal sites. Accordingly, further assessment will be required. </w:t>
      </w:r>
    </w:p>
    <w:p w14:paraId="19A8133D" w14:textId="77777777" w:rsidR="0057522D" w:rsidRDefault="0057522D" w:rsidP="005C307A">
      <w:pPr>
        <w:pStyle w:val="BodyText"/>
      </w:pPr>
      <w:r>
        <w:t>This would normally have been integrated development because an Aboriginal Heritage Impact Permit (AHIP) will be required</w:t>
      </w:r>
      <w:r w:rsidR="00E40899">
        <w:t xml:space="preserve">. However, the applicant did not nominate this proposal as integrated development for the National Parks &amp; Wildlife Service to assess. On this basis, the </w:t>
      </w:r>
      <w:r w:rsidR="00E40899">
        <w:lastRenderedPageBreak/>
        <w:t xml:space="preserve">recommendations below must be met prior </w:t>
      </w:r>
      <w:r w:rsidR="00DB484A">
        <w:t>t</w:t>
      </w:r>
      <w:r w:rsidR="00E40899">
        <w:t>o the issuing of any construction certificate for the proposal.</w:t>
      </w:r>
      <w:r w:rsidR="00DB484A">
        <w:t xml:space="preserve"> This is included as a condition in the draft consent.</w:t>
      </w:r>
    </w:p>
    <w:p w14:paraId="5FF6D5B6" w14:textId="77777777" w:rsidR="006B0284" w:rsidRDefault="006B0284" w:rsidP="005C307A">
      <w:pPr>
        <w:pStyle w:val="BodyText"/>
      </w:pPr>
      <w:r>
        <w:t>The recommendations include:</w:t>
      </w:r>
    </w:p>
    <w:p w14:paraId="1B719D0F" w14:textId="77777777" w:rsidR="002C1FCC" w:rsidRPr="002C1FCC" w:rsidRDefault="002C1FCC" w:rsidP="002C1FCC">
      <w:pPr>
        <w:pStyle w:val="Default"/>
        <w:spacing w:after="258"/>
        <w:ind w:left="720"/>
        <w:rPr>
          <w:rFonts w:asciiTheme="minorHAnsi" w:hAnsiTheme="minorHAnsi" w:cstheme="minorHAnsi"/>
          <w:i/>
          <w:sz w:val="22"/>
          <w:szCs w:val="22"/>
        </w:rPr>
      </w:pPr>
      <w:r>
        <w:rPr>
          <w:rFonts w:asciiTheme="minorHAnsi" w:hAnsiTheme="minorHAnsi" w:cstheme="minorHAnsi"/>
          <w:b/>
          <w:bCs/>
          <w:i/>
          <w:iCs/>
          <w:sz w:val="22"/>
          <w:szCs w:val="22"/>
        </w:rPr>
        <w:t>‘</w:t>
      </w:r>
      <w:r w:rsidRPr="002C1FCC">
        <w:rPr>
          <w:rFonts w:asciiTheme="minorHAnsi" w:hAnsiTheme="minorHAnsi" w:cstheme="minorHAnsi"/>
          <w:b/>
          <w:bCs/>
          <w:i/>
          <w:iCs/>
          <w:sz w:val="22"/>
          <w:szCs w:val="22"/>
        </w:rPr>
        <w:t xml:space="preserve">Recommendation 1 – </w:t>
      </w:r>
      <w:r w:rsidRPr="002C1FCC">
        <w:rPr>
          <w:rFonts w:asciiTheme="minorHAnsi" w:hAnsiTheme="minorHAnsi" w:cstheme="minorBidi"/>
          <w:color w:val="auto"/>
          <w:sz w:val="22"/>
          <w:szCs w:val="22"/>
        </w:rPr>
        <w:t>Aboriginal Cultural Heritage Assessment</w:t>
      </w:r>
      <w:r>
        <w:rPr>
          <w:rFonts w:asciiTheme="minorHAnsi" w:hAnsiTheme="minorHAnsi" w:cstheme="minorBidi"/>
          <w:color w:val="auto"/>
          <w:sz w:val="22"/>
          <w:szCs w:val="22"/>
        </w:rPr>
        <w:t xml:space="preserve"> (ACHA)</w:t>
      </w:r>
      <w:r w:rsidRPr="002C1FCC">
        <w:rPr>
          <w:rFonts w:asciiTheme="minorHAnsi" w:hAnsiTheme="minorHAnsi" w:cstheme="minorBidi"/>
          <w:color w:val="auto"/>
          <w:sz w:val="22"/>
          <w:szCs w:val="22"/>
        </w:rPr>
        <w:t>, Aboriginal community consultation and test excavation</w:t>
      </w:r>
      <w:r w:rsidRPr="002C1FCC">
        <w:rPr>
          <w:rFonts w:asciiTheme="minorHAnsi" w:hAnsiTheme="minorHAnsi" w:cstheme="minorHAnsi"/>
          <w:b/>
          <w:bCs/>
          <w:i/>
          <w:iCs/>
          <w:sz w:val="22"/>
          <w:szCs w:val="22"/>
        </w:rPr>
        <w:t xml:space="preserve"> </w:t>
      </w:r>
    </w:p>
    <w:p w14:paraId="70A2F82D" w14:textId="77777777" w:rsidR="002C1FCC" w:rsidRPr="002C1FCC" w:rsidRDefault="002C1FCC" w:rsidP="002C1FCC">
      <w:pPr>
        <w:pStyle w:val="Default"/>
        <w:spacing w:after="258"/>
        <w:ind w:left="720"/>
        <w:rPr>
          <w:rFonts w:asciiTheme="minorHAnsi" w:hAnsiTheme="minorHAnsi" w:cstheme="minorHAnsi"/>
          <w:i/>
          <w:sz w:val="22"/>
          <w:szCs w:val="22"/>
        </w:rPr>
      </w:pPr>
      <w:r w:rsidRPr="002C1FCC">
        <w:rPr>
          <w:rFonts w:asciiTheme="minorHAnsi" w:hAnsiTheme="minorHAnsi" w:cstheme="minorHAnsi"/>
          <w:i/>
          <w:sz w:val="22"/>
          <w:szCs w:val="22"/>
        </w:rPr>
        <w:t>Based on the sensitive nature of the study area and presence of Aboriginal sites, an ACHA should be prepared which would include an impact assessment of the proposed development. The ACHA would entail Aboriginal community consultation following the ‘</w:t>
      </w:r>
      <w:r w:rsidRPr="002C1FCC">
        <w:rPr>
          <w:rFonts w:asciiTheme="minorHAnsi" w:hAnsiTheme="minorHAnsi" w:cstheme="minorHAnsi"/>
          <w:i/>
          <w:iCs/>
          <w:sz w:val="22"/>
          <w:szCs w:val="22"/>
        </w:rPr>
        <w:t xml:space="preserve">Aboriginal cultural heritage consultation requirements for proponents 2010’ (DECCW 2010) </w:t>
      </w:r>
      <w:r w:rsidRPr="002C1FCC">
        <w:rPr>
          <w:rFonts w:asciiTheme="minorHAnsi" w:hAnsiTheme="minorHAnsi" w:cstheme="minorHAnsi"/>
          <w:i/>
          <w:sz w:val="22"/>
          <w:szCs w:val="22"/>
        </w:rPr>
        <w:t xml:space="preserve">to identify Aboriginal cultural heritage values through consultation with Aboriginal stakeholders. </w:t>
      </w:r>
    </w:p>
    <w:p w14:paraId="3717CB3D" w14:textId="77777777" w:rsidR="002C1FCC" w:rsidRPr="002C1FCC" w:rsidRDefault="002C1FCC" w:rsidP="002C1FCC">
      <w:pPr>
        <w:pStyle w:val="Default"/>
        <w:spacing w:after="258"/>
        <w:ind w:left="720"/>
        <w:rPr>
          <w:rFonts w:asciiTheme="minorHAnsi" w:hAnsiTheme="minorHAnsi" w:cstheme="minorHAnsi"/>
          <w:i/>
          <w:sz w:val="22"/>
          <w:szCs w:val="22"/>
        </w:rPr>
      </w:pPr>
      <w:r w:rsidRPr="002C1FCC">
        <w:rPr>
          <w:rFonts w:asciiTheme="minorHAnsi" w:hAnsiTheme="minorHAnsi" w:cstheme="minorHAnsi"/>
          <w:i/>
          <w:sz w:val="22"/>
          <w:szCs w:val="22"/>
        </w:rPr>
        <w:t xml:space="preserve">Further archaeological assessment including detailed field survey with Aboriginal stakeholders should be undertaken to inform archaeological values across the developable area. </w:t>
      </w:r>
    </w:p>
    <w:p w14:paraId="26DCA46D" w14:textId="77777777" w:rsidR="002C1FCC" w:rsidRPr="002C1FCC" w:rsidRDefault="002C1FCC" w:rsidP="002C1FCC">
      <w:pPr>
        <w:pStyle w:val="Default"/>
        <w:spacing w:after="258"/>
        <w:ind w:firstLine="720"/>
        <w:rPr>
          <w:rFonts w:asciiTheme="minorHAnsi" w:hAnsiTheme="minorHAnsi" w:cstheme="minorHAnsi"/>
          <w:i/>
          <w:sz w:val="22"/>
          <w:szCs w:val="22"/>
        </w:rPr>
      </w:pPr>
      <w:r w:rsidRPr="002C1FCC">
        <w:rPr>
          <w:rFonts w:asciiTheme="minorHAnsi" w:hAnsiTheme="minorHAnsi" w:cstheme="minorHAnsi"/>
          <w:b/>
          <w:bCs/>
          <w:i/>
          <w:iCs/>
          <w:sz w:val="22"/>
          <w:szCs w:val="22"/>
        </w:rPr>
        <w:t xml:space="preserve">Recommendation 2 – AHIP application </w:t>
      </w:r>
    </w:p>
    <w:p w14:paraId="799CA516" w14:textId="77777777" w:rsidR="002C1FCC" w:rsidRPr="002C1FCC" w:rsidRDefault="002C1FCC" w:rsidP="002C1FCC">
      <w:pPr>
        <w:pStyle w:val="Default"/>
        <w:spacing w:after="258"/>
        <w:ind w:left="720"/>
        <w:rPr>
          <w:rFonts w:asciiTheme="minorHAnsi" w:hAnsiTheme="minorHAnsi" w:cstheme="minorHAnsi"/>
          <w:i/>
          <w:sz w:val="22"/>
          <w:szCs w:val="22"/>
        </w:rPr>
      </w:pPr>
      <w:r w:rsidRPr="002C1FCC">
        <w:rPr>
          <w:rFonts w:asciiTheme="minorHAnsi" w:hAnsiTheme="minorHAnsi" w:cstheme="minorHAnsi"/>
          <w:i/>
          <w:sz w:val="22"/>
          <w:szCs w:val="22"/>
        </w:rPr>
        <w:t xml:space="preserve">The ACHA can be used to support a future AHIP application to Heritage NSW if Aboriginal sites cannot be avoided by future development. Heritage NSW require that AHIP applications are supported by an approval under Part 4 or Part 5 of the </w:t>
      </w:r>
      <w:r w:rsidRPr="002C1FCC">
        <w:rPr>
          <w:rFonts w:asciiTheme="minorHAnsi" w:hAnsiTheme="minorHAnsi" w:cstheme="minorHAnsi"/>
          <w:i/>
          <w:iCs/>
          <w:sz w:val="22"/>
          <w:szCs w:val="22"/>
        </w:rPr>
        <w:t xml:space="preserve">Environmental Planning and Assessment Act 1979 </w:t>
      </w:r>
      <w:r w:rsidRPr="002C1FCC">
        <w:rPr>
          <w:rFonts w:asciiTheme="minorHAnsi" w:hAnsiTheme="minorHAnsi" w:cstheme="minorHAnsi"/>
          <w:i/>
          <w:sz w:val="22"/>
          <w:szCs w:val="22"/>
        </w:rPr>
        <w:t xml:space="preserve">(such as a DA) as a supporting document. </w:t>
      </w:r>
    </w:p>
    <w:p w14:paraId="097645BD" w14:textId="77777777" w:rsidR="002C1FCC" w:rsidRPr="002C1FCC" w:rsidRDefault="002C1FCC" w:rsidP="002C1FCC">
      <w:pPr>
        <w:pStyle w:val="Default"/>
        <w:spacing w:after="258"/>
        <w:ind w:firstLine="720"/>
        <w:rPr>
          <w:rFonts w:asciiTheme="minorHAnsi" w:hAnsiTheme="minorHAnsi" w:cstheme="minorHAnsi"/>
          <w:i/>
          <w:sz w:val="22"/>
          <w:szCs w:val="22"/>
        </w:rPr>
      </w:pPr>
      <w:r w:rsidRPr="002C1FCC">
        <w:rPr>
          <w:rFonts w:asciiTheme="minorHAnsi" w:hAnsiTheme="minorHAnsi" w:cstheme="minorHAnsi"/>
          <w:b/>
          <w:bCs/>
          <w:i/>
          <w:iCs/>
          <w:sz w:val="22"/>
          <w:szCs w:val="22"/>
        </w:rPr>
        <w:t xml:space="preserve">Recommendation 3 – General measures </w:t>
      </w:r>
    </w:p>
    <w:p w14:paraId="195E2A2C" w14:textId="77777777" w:rsidR="002C1FCC" w:rsidRPr="002C1FCC" w:rsidRDefault="002C1FCC" w:rsidP="002C1FCC">
      <w:pPr>
        <w:pStyle w:val="Default"/>
        <w:spacing w:after="258"/>
        <w:ind w:left="720"/>
        <w:rPr>
          <w:rFonts w:asciiTheme="minorHAnsi" w:hAnsiTheme="minorHAnsi" w:cstheme="minorHAnsi"/>
          <w:i/>
          <w:sz w:val="22"/>
          <w:szCs w:val="22"/>
        </w:rPr>
      </w:pPr>
      <w:r w:rsidRPr="002C1FCC">
        <w:rPr>
          <w:rFonts w:asciiTheme="minorHAnsi" w:hAnsiTheme="minorHAnsi" w:cstheme="minorHAnsi"/>
          <w:i/>
          <w:sz w:val="22"/>
          <w:szCs w:val="22"/>
        </w:rPr>
        <w:t xml:space="preserve">Aboriginal objects are protected under the NPW Act regardless if they are registered on </w:t>
      </w:r>
      <w:r>
        <w:rPr>
          <w:rFonts w:asciiTheme="minorHAnsi" w:hAnsiTheme="minorHAnsi" w:cstheme="minorHAnsi"/>
          <w:i/>
          <w:sz w:val="22"/>
          <w:szCs w:val="22"/>
        </w:rPr>
        <w:t>the Aboriginal Heritage Information Management System (</w:t>
      </w:r>
      <w:r w:rsidRPr="002C1FCC">
        <w:rPr>
          <w:rFonts w:asciiTheme="minorHAnsi" w:hAnsiTheme="minorHAnsi" w:cstheme="minorHAnsi"/>
          <w:i/>
          <w:sz w:val="22"/>
          <w:szCs w:val="22"/>
        </w:rPr>
        <w:t>AHIMS</w:t>
      </w:r>
      <w:r>
        <w:rPr>
          <w:rFonts w:asciiTheme="minorHAnsi" w:hAnsiTheme="minorHAnsi" w:cstheme="minorHAnsi"/>
          <w:i/>
          <w:sz w:val="22"/>
          <w:szCs w:val="22"/>
        </w:rPr>
        <w:t>)</w:t>
      </w:r>
      <w:r w:rsidRPr="002C1FCC">
        <w:rPr>
          <w:rFonts w:asciiTheme="minorHAnsi" w:hAnsiTheme="minorHAnsi" w:cstheme="minorHAnsi"/>
          <w:i/>
          <w:sz w:val="22"/>
          <w:szCs w:val="22"/>
        </w:rPr>
        <w:t xml:space="preserve"> or not. If suspected Aboriginal objects, such as stone artefacts are located during future works, works must cease in the affected area and an archaeologist called in to assess the finds. If the finds are found to be Aboriginal objects, Heritage NSW must be notified under section 89A of the NPW Act. Appropriate management and avoidance or approval under a section 90 AHIP should then be sought if Aboriginal objects are to be moved or harmed. </w:t>
      </w:r>
    </w:p>
    <w:p w14:paraId="4C848A8A" w14:textId="77777777" w:rsidR="002C1FCC" w:rsidRDefault="002C1FCC" w:rsidP="002C1FCC">
      <w:pPr>
        <w:pStyle w:val="Default"/>
        <w:ind w:left="720"/>
        <w:rPr>
          <w:sz w:val="22"/>
          <w:szCs w:val="22"/>
        </w:rPr>
      </w:pPr>
      <w:r w:rsidRPr="002C1FCC">
        <w:rPr>
          <w:rFonts w:asciiTheme="minorHAnsi" w:hAnsiTheme="minorHAnsi" w:cstheme="minorHAnsi"/>
          <w:i/>
          <w:sz w:val="22"/>
          <w:szCs w:val="22"/>
        </w:rPr>
        <w:t>In the extremely unlikely event that human remains are found, works should immediately cease, and the NSW Police should be contacted. If the remains are suspected to be Aboriginal, Heritage NSW may also be contacted at this time to assist in determining appropriate management.</w:t>
      </w:r>
      <w:r>
        <w:rPr>
          <w:rFonts w:asciiTheme="minorHAnsi" w:hAnsiTheme="minorHAnsi" w:cstheme="minorHAnsi"/>
          <w:i/>
          <w:sz w:val="22"/>
          <w:szCs w:val="22"/>
        </w:rPr>
        <w:t>’</w:t>
      </w:r>
    </w:p>
    <w:p w14:paraId="13C39E96" w14:textId="77777777" w:rsidR="006B0284" w:rsidRDefault="006B0284" w:rsidP="005C307A">
      <w:pPr>
        <w:pStyle w:val="BodyText"/>
      </w:pPr>
    </w:p>
    <w:p w14:paraId="52A79AC9" w14:textId="77777777" w:rsidR="002C1FCC" w:rsidRDefault="002C1FCC" w:rsidP="005C307A">
      <w:pPr>
        <w:pStyle w:val="BodyText"/>
      </w:pPr>
      <w:r>
        <w:t xml:space="preserve">The recommendations of the </w:t>
      </w:r>
      <w:r w:rsidRPr="002C1FCC">
        <w:t>Aboriginal Due Diligence Assessment prepared by Eco Logical Australia dated 21 April, 2021</w:t>
      </w:r>
      <w:r>
        <w:t xml:space="preserve"> have been included in the draft conditions consent for the Panel’s consideration.</w:t>
      </w:r>
    </w:p>
    <w:p w14:paraId="02E9F700" w14:textId="77777777" w:rsidR="00E40899" w:rsidRDefault="00E40899" w:rsidP="005C307A">
      <w:pPr>
        <w:pStyle w:val="BodyText"/>
      </w:pPr>
    </w:p>
    <w:p w14:paraId="64B576A4" w14:textId="77777777" w:rsidR="00E40899" w:rsidRDefault="00E40899" w:rsidP="005C307A">
      <w:pPr>
        <w:pStyle w:val="BodyText"/>
      </w:pPr>
    </w:p>
    <w:p w14:paraId="209561E6" w14:textId="77777777" w:rsidR="00E40899" w:rsidRDefault="00E40899" w:rsidP="005C307A">
      <w:pPr>
        <w:pStyle w:val="BodyText"/>
      </w:pPr>
    </w:p>
    <w:p w14:paraId="1DD989C0" w14:textId="77777777" w:rsidR="00E40899" w:rsidRDefault="00E40899" w:rsidP="005C307A">
      <w:pPr>
        <w:pStyle w:val="BodyText"/>
      </w:pPr>
    </w:p>
    <w:p w14:paraId="3D865262" w14:textId="77777777" w:rsidR="00E40899" w:rsidRDefault="00E40899" w:rsidP="005C307A">
      <w:pPr>
        <w:pStyle w:val="BodyText"/>
      </w:pPr>
    </w:p>
    <w:p w14:paraId="651345F4" w14:textId="77777777" w:rsidR="00E40899" w:rsidRDefault="00E40899" w:rsidP="005C307A">
      <w:pPr>
        <w:pStyle w:val="BodyText"/>
      </w:pPr>
    </w:p>
    <w:p w14:paraId="2F6F7F01" w14:textId="77777777" w:rsidR="00E40899" w:rsidRDefault="00E40899" w:rsidP="005C307A">
      <w:pPr>
        <w:pStyle w:val="BodyText"/>
      </w:pPr>
    </w:p>
    <w:p w14:paraId="63680946" w14:textId="77777777" w:rsidR="00E40899" w:rsidRDefault="00E40899" w:rsidP="005C307A">
      <w:pPr>
        <w:pStyle w:val="BodyText"/>
      </w:pPr>
    </w:p>
    <w:p w14:paraId="2938C050" w14:textId="77777777" w:rsidR="005C307A" w:rsidRPr="00B62066" w:rsidRDefault="0051452A" w:rsidP="005C307A">
      <w:pPr>
        <w:pStyle w:val="BodyText"/>
        <w:rPr>
          <w:b/>
        </w:rPr>
      </w:pPr>
      <w:r>
        <w:rPr>
          <w:b/>
        </w:rPr>
        <w:lastRenderedPageBreak/>
        <w:t>5.5</w:t>
      </w:r>
      <w:r>
        <w:rPr>
          <w:b/>
        </w:rPr>
        <w:tab/>
      </w:r>
      <w:r w:rsidR="005C307A" w:rsidRPr="00B62066">
        <w:rPr>
          <w:b/>
        </w:rPr>
        <w:t>European heritage</w:t>
      </w:r>
    </w:p>
    <w:p w14:paraId="01367689" w14:textId="77777777" w:rsidR="005C307A" w:rsidRDefault="00803A25" w:rsidP="005C307A">
      <w:pPr>
        <w:pStyle w:val="BodyText"/>
      </w:pPr>
      <w:r>
        <w:rPr>
          <w:noProof/>
        </w:rPr>
        <w:drawing>
          <wp:inline distT="0" distB="0" distL="0" distR="0" wp14:anchorId="18086CB7" wp14:editId="163F7788">
            <wp:extent cx="6120765" cy="45904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pic:spPr>
                </pic:pic>
              </a:graphicData>
            </a:graphic>
          </wp:inline>
        </w:drawing>
      </w:r>
    </w:p>
    <w:p w14:paraId="216E2576" w14:textId="77777777" w:rsidR="00803A25" w:rsidRPr="002650D5" w:rsidRDefault="00803A25" w:rsidP="00803A25">
      <w:pPr>
        <w:pStyle w:val="BodyText"/>
        <w:rPr>
          <w:sz w:val="16"/>
          <w:szCs w:val="16"/>
        </w:rPr>
      </w:pPr>
      <w:r w:rsidRPr="002650D5">
        <w:rPr>
          <w:sz w:val="16"/>
          <w:szCs w:val="16"/>
        </w:rPr>
        <w:t xml:space="preserve">View of the heritage listed hospital building (heritage wing) looking south-west from Ross Street </w:t>
      </w:r>
    </w:p>
    <w:p w14:paraId="199FE27B" w14:textId="77777777" w:rsidR="00803A25" w:rsidRDefault="007D2D35" w:rsidP="005C307A">
      <w:pPr>
        <w:pStyle w:val="BodyText"/>
      </w:pPr>
      <w:r>
        <w:t xml:space="preserve">There are a number of </w:t>
      </w:r>
      <w:r w:rsidR="00AA604B">
        <w:t xml:space="preserve">quite significant local </w:t>
      </w:r>
      <w:r>
        <w:t>items of environmental heritage within proximity of the site. These include:</w:t>
      </w:r>
    </w:p>
    <w:p w14:paraId="25C05A05" w14:textId="77777777" w:rsidR="007D2D35" w:rsidRDefault="007D2D35" w:rsidP="003860D4">
      <w:pPr>
        <w:pStyle w:val="BodyText"/>
        <w:numPr>
          <w:ilvl w:val="0"/>
          <w:numId w:val="19"/>
        </w:numPr>
      </w:pPr>
      <w:r>
        <w:t>The adjacent hospital at 1-7 Ross Street to the east of the site</w:t>
      </w:r>
      <w:r w:rsidR="005C0BF2">
        <w:t>. The hospital was designed by Edmund Blacket, architect of St Andrew’s Cathedral in Sydney and Sydney University</w:t>
      </w:r>
      <w:r w:rsidR="000079A4">
        <w:t xml:space="preserve"> and was built in 1879</w:t>
      </w:r>
      <w:r w:rsidR="005C0BF2">
        <w:t>.</w:t>
      </w:r>
    </w:p>
    <w:p w14:paraId="5F4A3F07" w14:textId="77777777" w:rsidR="007D2D35" w:rsidRDefault="00386993" w:rsidP="003860D4">
      <w:pPr>
        <w:pStyle w:val="BodyText"/>
        <w:numPr>
          <w:ilvl w:val="0"/>
          <w:numId w:val="19"/>
        </w:numPr>
      </w:pPr>
      <w:r>
        <w:t xml:space="preserve">Steam engines and old Wilcannia water tower </w:t>
      </w:r>
      <w:r w:rsidR="00BA7314">
        <w:t>at 6-8 Ross Street to the north-east of the site</w:t>
      </w:r>
      <w:r w:rsidR="000079A4">
        <w:t xml:space="preserve">. The steam engines were moved to this location after they had been abandoned </w:t>
      </w:r>
      <w:r w:rsidR="00AA604B">
        <w:t>near</w:t>
      </w:r>
      <w:r w:rsidR="000079A4">
        <w:t xml:space="preserve"> the river. The water tower (municipal water cistern) with riveted iron plate water tank and cast</w:t>
      </w:r>
      <w:r w:rsidR="00BF1555">
        <w:t xml:space="preserve"> </w:t>
      </w:r>
      <w:r w:rsidR="000079A4">
        <w:t>iron support tower, supplied the town with water from 1884 until 1977</w:t>
      </w:r>
      <w:r w:rsidR="00BF1555">
        <w:t>,</w:t>
      </w:r>
      <w:r w:rsidR="000079A4">
        <w:t xml:space="preserve"> when the old pumping station was closed down.</w:t>
      </w:r>
    </w:p>
    <w:p w14:paraId="3E60E37F" w14:textId="77777777" w:rsidR="00BA7314" w:rsidRDefault="00BA7314" w:rsidP="003860D4">
      <w:pPr>
        <w:pStyle w:val="BodyText"/>
        <w:numPr>
          <w:ilvl w:val="0"/>
          <w:numId w:val="19"/>
        </w:numPr>
      </w:pPr>
      <w:r>
        <w:t xml:space="preserve">The Wilcannia Golf Club </w:t>
      </w:r>
      <w:r w:rsidR="000079A4">
        <w:t xml:space="preserve">built in 1879 </w:t>
      </w:r>
      <w:r>
        <w:t>at 25-29 Ross Street to the north-west of the site</w:t>
      </w:r>
      <w:r w:rsidR="000079A4">
        <w:t xml:space="preserve">. This used to be the site of the Lion Brewery built in 1879. Brewing ceased in 1927.  </w:t>
      </w:r>
      <w:r w:rsidR="000079A4" w:rsidRPr="000079A4">
        <w:t>A malting tower was demolished in 1975 to make way for the Golf Club and the only remains of the brewery are the random stone walls and small section of stone building incorporated into the 1970s structure.</w:t>
      </w:r>
    </w:p>
    <w:p w14:paraId="2604492B" w14:textId="77777777" w:rsidR="00BA7314" w:rsidRDefault="00BA7314" w:rsidP="003860D4">
      <w:pPr>
        <w:pStyle w:val="BodyText"/>
        <w:numPr>
          <w:ilvl w:val="0"/>
          <w:numId w:val="19"/>
        </w:numPr>
      </w:pPr>
      <w:r>
        <w:t>19-23 Bonney Street (house and former brewery residence) adjoining the site to the north.</w:t>
      </w:r>
      <w:r w:rsidR="000079A4">
        <w:t xml:space="preserve"> The significance of this building includes it being the manager’s residence for the adjacent Lion Brewery and was constructed between 1875 and 1880, originally owned by Edmund Resch.</w:t>
      </w:r>
    </w:p>
    <w:p w14:paraId="0D77BBC9" w14:textId="77777777" w:rsidR="000079A4" w:rsidRPr="000079A4" w:rsidRDefault="000079A4" w:rsidP="005C307A">
      <w:pPr>
        <w:pStyle w:val="BodyText"/>
        <w:rPr>
          <w:sz w:val="16"/>
          <w:szCs w:val="16"/>
        </w:rPr>
      </w:pPr>
      <w:r w:rsidRPr="000079A4">
        <w:rPr>
          <w:sz w:val="16"/>
          <w:szCs w:val="16"/>
        </w:rPr>
        <w:lastRenderedPageBreak/>
        <w:t>(Historic information sourced from the Wilcannia NSW Community Based Heritage Survey 2017 – McDougall &amp; Vines, Conservation and Heritage Consultants)</w:t>
      </w:r>
    </w:p>
    <w:p w14:paraId="456BB43C" w14:textId="77777777" w:rsidR="00803A25" w:rsidRDefault="007D2D35" w:rsidP="005C307A">
      <w:pPr>
        <w:pStyle w:val="BodyText"/>
      </w:pPr>
      <w:r>
        <w:t xml:space="preserve">Overall, the proposed development </w:t>
      </w:r>
      <w:r w:rsidR="00AA604B">
        <w:t>will</w:t>
      </w:r>
      <w:r>
        <w:t xml:space="preserve"> not </w:t>
      </w:r>
      <w:r w:rsidR="00AA604B">
        <w:t xml:space="preserve">likely </w:t>
      </w:r>
      <w:r w:rsidR="006915D7">
        <w:t>a</w:t>
      </w:r>
      <w:r>
        <w:t>ffect the integrity of nearby items of environmental heritage and any visual impacts would be minimal.</w:t>
      </w:r>
    </w:p>
    <w:p w14:paraId="4FEE2DB3" w14:textId="77777777" w:rsidR="005C307A" w:rsidRPr="00D813C2" w:rsidRDefault="0051452A" w:rsidP="005C307A">
      <w:pPr>
        <w:pStyle w:val="BodyText"/>
        <w:rPr>
          <w:b/>
        </w:rPr>
      </w:pPr>
      <w:r>
        <w:rPr>
          <w:b/>
        </w:rPr>
        <w:t>5.6</w:t>
      </w:r>
      <w:r>
        <w:rPr>
          <w:b/>
        </w:rPr>
        <w:tab/>
      </w:r>
      <w:r w:rsidR="005C307A" w:rsidRPr="00D813C2">
        <w:rPr>
          <w:b/>
        </w:rPr>
        <w:t>Biodiversity</w:t>
      </w:r>
    </w:p>
    <w:p w14:paraId="7F5C05F0" w14:textId="77777777" w:rsidR="005C307A" w:rsidRDefault="0022774B" w:rsidP="005C307A">
      <w:pPr>
        <w:pStyle w:val="BodyText"/>
      </w:pPr>
      <w:r>
        <w:t xml:space="preserve">The applicant commissioned </w:t>
      </w:r>
      <w:r w:rsidR="005641E6">
        <w:t>a Flora and Fauna Impact Assessment</w:t>
      </w:r>
      <w:r w:rsidR="00FD1967">
        <w:t xml:space="preserve"> over the subject land</w:t>
      </w:r>
      <w:r w:rsidR="005641E6">
        <w:t>. The findings of the as assessment prepared by Eco Logical Australia and dated 3 May, 2021 can be summarised as follows:</w:t>
      </w:r>
    </w:p>
    <w:p w14:paraId="085CC732" w14:textId="77777777" w:rsidR="005641E6" w:rsidRDefault="005641E6" w:rsidP="003860D4">
      <w:pPr>
        <w:pStyle w:val="BodyText"/>
        <w:numPr>
          <w:ilvl w:val="0"/>
          <w:numId w:val="20"/>
        </w:numPr>
      </w:pPr>
      <w:r>
        <w:t>The study area is approximately 5,000m</w:t>
      </w:r>
      <w:r>
        <w:rPr>
          <w:rFonts w:cstheme="minorHAnsi"/>
        </w:rPr>
        <w:t>²</w:t>
      </w:r>
      <w:r>
        <w:t xml:space="preserve"> and comprises 4,441m</w:t>
      </w:r>
      <w:r>
        <w:rPr>
          <w:rFonts w:cstheme="minorHAnsi"/>
        </w:rPr>
        <w:t>²</w:t>
      </w:r>
      <w:r>
        <w:t xml:space="preserve"> of native vegetation and the remainder being vehicular tracks.</w:t>
      </w:r>
    </w:p>
    <w:p w14:paraId="6A527824" w14:textId="77777777" w:rsidR="005641E6" w:rsidRDefault="005641E6" w:rsidP="003860D4">
      <w:pPr>
        <w:pStyle w:val="BodyText"/>
        <w:numPr>
          <w:ilvl w:val="0"/>
          <w:numId w:val="20"/>
        </w:numPr>
      </w:pPr>
      <w:r>
        <w:t>2 plant type communities are found on the site, Coolabah (River coolah) and Coolabah open woodland wetland with chenopod grassy ground cover on clay floodplain.</w:t>
      </w:r>
    </w:p>
    <w:p w14:paraId="78D7F902" w14:textId="77777777" w:rsidR="005641E6" w:rsidRPr="005641E6" w:rsidRDefault="005641E6" w:rsidP="003860D4">
      <w:pPr>
        <w:pStyle w:val="BodyText"/>
        <w:numPr>
          <w:ilvl w:val="0"/>
          <w:numId w:val="20"/>
        </w:numPr>
      </w:pPr>
      <w:r>
        <w:t xml:space="preserve">The project will involve </w:t>
      </w:r>
      <w:r w:rsidR="006915D7">
        <w:t xml:space="preserve">developing over </w:t>
      </w:r>
      <w:r>
        <w:t>42m</w:t>
      </w:r>
      <w:r>
        <w:rPr>
          <w:rFonts w:cstheme="minorHAnsi"/>
        </w:rPr>
        <w:t xml:space="preserve">² of Coolabah and 2,137m² of the latter, resulting in the </w:t>
      </w:r>
      <w:r w:rsidR="006915D7">
        <w:rPr>
          <w:rFonts w:cstheme="minorHAnsi"/>
        </w:rPr>
        <w:t xml:space="preserve">proposed </w:t>
      </w:r>
      <w:r>
        <w:rPr>
          <w:rFonts w:cstheme="minorHAnsi"/>
        </w:rPr>
        <w:t>removal of 2,179m² of native vegetation.</w:t>
      </w:r>
    </w:p>
    <w:p w14:paraId="1078AC34" w14:textId="77777777" w:rsidR="005641E6" w:rsidRDefault="005641E6" w:rsidP="003860D4">
      <w:pPr>
        <w:pStyle w:val="BodyText"/>
        <w:numPr>
          <w:ilvl w:val="0"/>
          <w:numId w:val="20"/>
        </w:numPr>
      </w:pPr>
      <w:r>
        <w:t xml:space="preserve">The </w:t>
      </w:r>
      <w:r w:rsidR="00E642C5">
        <w:t>clearing for this project is below the 2,500m</w:t>
      </w:r>
      <w:r w:rsidR="00E642C5">
        <w:rPr>
          <w:rFonts w:cstheme="minorHAnsi"/>
        </w:rPr>
        <w:t>²</w:t>
      </w:r>
      <w:r w:rsidR="00E642C5">
        <w:t xml:space="preserve"> threshold and does not trigger </w:t>
      </w:r>
      <w:r w:rsidR="006915D7">
        <w:t xml:space="preserve">a Biodiversity Development Assessment Report nor </w:t>
      </w:r>
      <w:r w:rsidR="00E642C5">
        <w:t>entry into the NSW Biodiversity Offsets Scheme.</w:t>
      </w:r>
    </w:p>
    <w:p w14:paraId="0072FEB7" w14:textId="77777777" w:rsidR="0031315D" w:rsidRDefault="00E642C5" w:rsidP="003860D4">
      <w:pPr>
        <w:pStyle w:val="BodyText"/>
        <w:numPr>
          <w:ilvl w:val="0"/>
          <w:numId w:val="20"/>
        </w:numPr>
      </w:pPr>
      <w:r>
        <w:t>The project will not impact on any area mapped on the NSW Biodiversity Values Map.</w:t>
      </w:r>
    </w:p>
    <w:p w14:paraId="56A27251" w14:textId="77777777" w:rsidR="00E642C5" w:rsidRPr="0031315D" w:rsidRDefault="00E642C5" w:rsidP="003860D4">
      <w:pPr>
        <w:pStyle w:val="BodyText"/>
        <w:numPr>
          <w:ilvl w:val="0"/>
          <w:numId w:val="20"/>
        </w:numPr>
      </w:pPr>
      <w:r w:rsidRPr="0031315D">
        <w:rPr>
          <w:rFonts w:cstheme="minorHAnsi"/>
        </w:rPr>
        <w:t xml:space="preserve">Assessments of </w:t>
      </w:r>
      <w:r w:rsidR="006915D7">
        <w:rPr>
          <w:rFonts w:cstheme="minorHAnsi"/>
        </w:rPr>
        <w:t>S</w:t>
      </w:r>
      <w:r w:rsidRPr="0031315D">
        <w:rPr>
          <w:rFonts w:cstheme="minorHAnsi"/>
        </w:rPr>
        <w:t xml:space="preserve">ignificance were undertaken for </w:t>
      </w:r>
      <w:r w:rsidR="0031315D">
        <w:rPr>
          <w:rFonts w:cstheme="minorHAnsi"/>
        </w:rPr>
        <w:t>10</w:t>
      </w:r>
      <w:r w:rsidRPr="0031315D">
        <w:rPr>
          <w:rFonts w:cstheme="minorHAnsi"/>
        </w:rPr>
        <w:t xml:space="preserve"> fauna species and </w:t>
      </w:r>
      <w:r w:rsidR="0031315D">
        <w:rPr>
          <w:rFonts w:cstheme="minorHAnsi"/>
        </w:rPr>
        <w:t>1</w:t>
      </w:r>
      <w:r w:rsidRPr="0031315D">
        <w:rPr>
          <w:rFonts w:cstheme="minorHAnsi"/>
        </w:rPr>
        <w:t xml:space="preserve"> species listed as threatened under the B</w:t>
      </w:r>
      <w:r w:rsidR="0031315D">
        <w:rPr>
          <w:rFonts w:cstheme="minorHAnsi"/>
        </w:rPr>
        <w:t xml:space="preserve">iodiversity </w:t>
      </w:r>
      <w:r w:rsidRPr="0031315D">
        <w:rPr>
          <w:rFonts w:cstheme="minorHAnsi"/>
        </w:rPr>
        <w:t>C</w:t>
      </w:r>
      <w:r w:rsidR="0031315D">
        <w:rPr>
          <w:rFonts w:cstheme="minorHAnsi"/>
        </w:rPr>
        <w:t>onservation</w:t>
      </w:r>
      <w:r w:rsidRPr="0031315D">
        <w:rPr>
          <w:rFonts w:cstheme="minorHAnsi"/>
        </w:rPr>
        <w:t xml:space="preserve"> Act </w:t>
      </w:r>
      <w:r w:rsidR="0031315D">
        <w:rPr>
          <w:rFonts w:cstheme="minorHAnsi"/>
        </w:rPr>
        <w:t xml:space="preserve">2016 </w:t>
      </w:r>
      <w:r w:rsidRPr="0031315D">
        <w:rPr>
          <w:rFonts w:cstheme="minorHAnsi"/>
        </w:rPr>
        <w:t xml:space="preserve">and undertaken for </w:t>
      </w:r>
      <w:r w:rsidR="0031315D">
        <w:rPr>
          <w:rFonts w:cstheme="minorHAnsi"/>
        </w:rPr>
        <w:t>1</w:t>
      </w:r>
      <w:r w:rsidRPr="0031315D">
        <w:rPr>
          <w:rFonts w:cstheme="minorHAnsi"/>
        </w:rPr>
        <w:t xml:space="preserve"> fauna species and </w:t>
      </w:r>
      <w:r w:rsidR="0031315D">
        <w:rPr>
          <w:rFonts w:cstheme="minorHAnsi"/>
        </w:rPr>
        <w:t>1</w:t>
      </w:r>
      <w:r w:rsidRPr="0031315D">
        <w:rPr>
          <w:rFonts w:cstheme="minorHAnsi"/>
        </w:rPr>
        <w:t xml:space="preserve"> flora species listed under the </w:t>
      </w:r>
      <w:r w:rsidR="0031315D">
        <w:rPr>
          <w:rFonts w:cstheme="minorHAnsi"/>
        </w:rPr>
        <w:t xml:space="preserve">Environmental Protection and Biodiversity Conservation </w:t>
      </w:r>
      <w:r w:rsidRPr="0031315D">
        <w:rPr>
          <w:rFonts w:cstheme="minorHAnsi"/>
        </w:rPr>
        <w:t xml:space="preserve">Act </w:t>
      </w:r>
      <w:r w:rsidR="0031315D">
        <w:rPr>
          <w:rFonts w:cstheme="minorHAnsi"/>
        </w:rPr>
        <w:t xml:space="preserve">1999 </w:t>
      </w:r>
      <w:r w:rsidRPr="0031315D">
        <w:rPr>
          <w:rFonts w:cstheme="minorHAnsi"/>
        </w:rPr>
        <w:t>(</w:t>
      </w:r>
      <w:r w:rsidR="0031315D">
        <w:rPr>
          <w:rFonts w:cstheme="minorHAnsi"/>
        </w:rPr>
        <w:t xml:space="preserve">all listed in </w:t>
      </w:r>
      <w:r w:rsidRPr="0031315D">
        <w:rPr>
          <w:rFonts w:cstheme="minorHAnsi"/>
          <w:bCs/>
        </w:rPr>
        <w:t xml:space="preserve">Appendix E </w:t>
      </w:r>
      <w:r w:rsidRPr="0031315D">
        <w:rPr>
          <w:rFonts w:cstheme="minorHAnsi"/>
        </w:rPr>
        <w:t xml:space="preserve">and </w:t>
      </w:r>
      <w:r w:rsidRPr="0031315D">
        <w:rPr>
          <w:rFonts w:cstheme="minorHAnsi"/>
          <w:bCs/>
        </w:rPr>
        <w:t>F</w:t>
      </w:r>
      <w:r w:rsidR="0031315D" w:rsidRPr="0031315D">
        <w:rPr>
          <w:rFonts w:cstheme="minorHAnsi"/>
          <w:bCs/>
        </w:rPr>
        <w:t xml:space="preserve"> of the</w:t>
      </w:r>
      <w:r w:rsidR="0031315D">
        <w:rPr>
          <w:rFonts w:cstheme="minorHAnsi"/>
        </w:rPr>
        <w:t xml:space="preserve"> </w:t>
      </w:r>
      <w:r w:rsidR="0031315D">
        <w:t>Eco Logical Australia report</w:t>
      </w:r>
      <w:r w:rsidRPr="0031315D">
        <w:rPr>
          <w:rFonts w:cstheme="minorHAnsi"/>
        </w:rPr>
        <w:t>). Due to the absence of records within the study area, and the proposed impact area, and the presence of suitable habitat for these species upstream and</w:t>
      </w:r>
      <w:r w:rsidR="0031315D" w:rsidRPr="0031315D">
        <w:rPr>
          <w:rFonts w:cstheme="minorHAnsi"/>
        </w:rPr>
        <w:t xml:space="preserve"> </w:t>
      </w:r>
      <w:r w:rsidRPr="0031315D">
        <w:rPr>
          <w:rFonts w:cstheme="minorHAnsi"/>
        </w:rPr>
        <w:t xml:space="preserve">downstream of the Darling River, as well as in areas surrounding the study area, the </w:t>
      </w:r>
      <w:r w:rsidR="006915D7">
        <w:rPr>
          <w:rFonts w:cstheme="minorHAnsi"/>
        </w:rPr>
        <w:t>A</w:t>
      </w:r>
      <w:r w:rsidRPr="0031315D">
        <w:rPr>
          <w:rFonts w:cstheme="minorHAnsi"/>
        </w:rPr>
        <w:t>ssessments of</w:t>
      </w:r>
      <w:r w:rsidR="0031315D" w:rsidRPr="0031315D">
        <w:rPr>
          <w:rFonts w:cstheme="minorHAnsi"/>
        </w:rPr>
        <w:t xml:space="preserve"> </w:t>
      </w:r>
      <w:r w:rsidR="006915D7">
        <w:rPr>
          <w:rFonts w:cstheme="minorHAnsi"/>
        </w:rPr>
        <w:t>S</w:t>
      </w:r>
      <w:r w:rsidRPr="0031315D">
        <w:rPr>
          <w:rFonts w:cstheme="minorHAnsi"/>
        </w:rPr>
        <w:t xml:space="preserve">ignificance concluded that the </w:t>
      </w:r>
      <w:r w:rsidR="0031315D">
        <w:rPr>
          <w:rFonts w:cstheme="minorHAnsi"/>
        </w:rPr>
        <w:t>p</w:t>
      </w:r>
      <w:r w:rsidRPr="0031315D">
        <w:rPr>
          <w:rFonts w:cstheme="minorHAnsi"/>
        </w:rPr>
        <w:t>roject will not result in a significant impact to these threatened fauna</w:t>
      </w:r>
      <w:r w:rsidR="0031315D" w:rsidRPr="0031315D">
        <w:rPr>
          <w:rFonts w:cstheme="minorHAnsi"/>
        </w:rPr>
        <w:t xml:space="preserve"> </w:t>
      </w:r>
      <w:r w:rsidRPr="0031315D">
        <w:rPr>
          <w:rFonts w:cstheme="minorHAnsi"/>
        </w:rPr>
        <w:t>or flora species.</w:t>
      </w:r>
    </w:p>
    <w:p w14:paraId="31088457" w14:textId="77777777" w:rsidR="00E642C5" w:rsidRDefault="00E642C5" w:rsidP="003860D4">
      <w:pPr>
        <w:pStyle w:val="BodyText"/>
        <w:numPr>
          <w:ilvl w:val="0"/>
          <w:numId w:val="20"/>
        </w:numPr>
      </w:pPr>
      <w:r>
        <w:t xml:space="preserve">The </w:t>
      </w:r>
      <w:r w:rsidR="006915D7">
        <w:t>A</w:t>
      </w:r>
      <w:r>
        <w:t xml:space="preserve">ssessments of </w:t>
      </w:r>
      <w:r w:rsidR="006915D7">
        <w:t>S</w:t>
      </w:r>
      <w:r>
        <w:t xml:space="preserve">ignificance </w:t>
      </w:r>
      <w:r w:rsidR="006915D7">
        <w:t xml:space="preserve">also </w:t>
      </w:r>
      <w:r>
        <w:t xml:space="preserve">concluded that the project will not result in a significant impact to any threatened fauna or flora species </w:t>
      </w:r>
      <w:r w:rsidR="006915D7">
        <w:t>on</w:t>
      </w:r>
      <w:r>
        <w:t xml:space="preserve"> or surrounding the study area.</w:t>
      </w:r>
    </w:p>
    <w:p w14:paraId="2EC9C6A9" w14:textId="77777777" w:rsidR="005C307A" w:rsidRPr="00B62066" w:rsidRDefault="0051452A" w:rsidP="005C307A">
      <w:pPr>
        <w:pStyle w:val="BodyText"/>
        <w:rPr>
          <w:b/>
        </w:rPr>
      </w:pPr>
      <w:r>
        <w:rPr>
          <w:b/>
        </w:rPr>
        <w:t>5.7</w:t>
      </w:r>
      <w:r>
        <w:rPr>
          <w:b/>
        </w:rPr>
        <w:tab/>
      </w:r>
      <w:r w:rsidR="005C307A" w:rsidRPr="00B62066">
        <w:rPr>
          <w:b/>
        </w:rPr>
        <w:t>Traffic and parking</w:t>
      </w:r>
    </w:p>
    <w:p w14:paraId="0DD71F0F" w14:textId="77777777" w:rsidR="005C307A" w:rsidRDefault="00BA7314" w:rsidP="005C307A">
      <w:pPr>
        <w:pStyle w:val="BodyText"/>
      </w:pPr>
      <w:r>
        <w:t>Central Darling Shire has no controls for the provision of carparking for any uses.</w:t>
      </w:r>
      <w:r w:rsidR="00107F57">
        <w:t xml:space="preserve"> The former </w:t>
      </w:r>
      <w:r w:rsidR="006915D7">
        <w:t>Roads &amp; Traffic Authority</w:t>
      </w:r>
      <w:r w:rsidR="00107F57">
        <w:t xml:space="preserve"> Guide to Traffic Generating Developments utilises much of its data based on surveys of uses in the Sydney metropolitan area and is of limited use to a town of the size and location of Wilcannia. However, the applicant has loosely based the proposed allocation of 16 parking spaces on the 2002 guideline prepared by the former RTA as well as reviewing the current needs for Maari Ma’s existing facility in Wilcannia.</w:t>
      </w:r>
    </w:p>
    <w:p w14:paraId="10CF37E0" w14:textId="77777777" w:rsidR="00107F57" w:rsidRDefault="00107F57" w:rsidP="005C307A">
      <w:pPr>
        <w:pStyle w:val="BodyText"/>
      </w:pPr>
      <w:r>
        <w:t>Maari Ma also has a small bus which is utilised to transport members of the community to and from the facility</w:t>
      </w:r>
      <w:r w:rsidR="006915D7">
        <w:t xml:space="preserve"> (dropping off and collecting from the drop-off area designated at the front of the Nerve Centre building)</w:t>
      </w:r>
      <w:r>
        <w:t xml:space="preserve">. Based on current generation of 20 movements per day, a bus, 12 staff and visiting medical personel from outside of the region. It is likely that the provision of 16 spaces will be sufficient. In the event that carparking is fully utilised, it is unlikely that street parking will </w:t>
      </w:r>
      <w:r w:rsidR="00201E9B">
        <w:t>be unavailable at any time.</w:t>
      </w:r>
    </w:p>
    <w:p w14:paraId="789F5367" w14:textId="77777777" w:rsidR="006915D7" w:rsidRDefault="006915D7" w:rsidP="005C307A">
      <w:pPr>
        <w:pStyle w:val="BodyText"/>
      </w:pPr>
    </w:p>
    <w:p w14:paraId="134F9E1E" w14:textId="77777777" w:rsidR="005C307A" w:rsidRPr="00B62066" w:rsidRDefault="0051452A" w:rsidP="005C307A">
      <w:pPr>
        <w:pStyle w:val="BodyText"/>
        <w:rPr>
          <w:b/>
        </w:rPr>
      </w:pPr>
      <w:r>
        <w:rPr>
          <w:b/>
        </w:rPr>
        <w:lastRenderedPageBreak/>
        <w:t>5.8</w:t>
      </w:r>
      <w:r>
        <w:rPr>
          <w:b/>
        </w:rPr>
        <w:tab/>
      </w:r>
      <w:r w:rsidR="005C307A" w:rsidRPr="00B62066">
        <w:rPr>
          <w:b/>
        </w:rPr>
        <w:t>Noise and vibration</w:t>
      </w:r>
    </w:p>
    <w:p w14:paraId="70719693" w14:textId="77777777" w:rsidR="005C307A" w:rsidRDefault="00BD405B" w:rsidP="005C307A">
      <w:pPr>
        <w:pStyle w:val="BodyText"/>
      </w:pPr>
      <w:r>
        <w:t>The premises is only proposed to be operational between the hours of 9.00am to 5.00pm Mondays to Fridays. We consider that there needs to be some flexibility to allow weekend operation on a needs basis when required and for office and administrative functions to occur when the applicant sees fit</w:t>
      </w:r>
      <w:r w:rsidR="00792138">
        <w:t>, despite this not being applied for in the application</w:t>
      </w:r>
      <w:r>
        <w:t>. Even with those additional possible times and days of potential operation, there is unlikely to b</w:t>
      </w:r>
      <w:r w:rsidR="00201E9B">
        <w:t>e</w:t>
      </w:r>
      <w:r>
        <w:t xml:space="preserve"> any unreasonable noise emanating from the premises. Standard conditions of consent </w:t>
      </w:r>
      <w:r w:rsidR="006915D7">
        <w:t>are</w:t>
      </w:r>
      <w:r>
        <w:t xml:space="preserve"> nevertheless recommended</w:t>
      </w:r>
      <w:r w:rsidR="006915D7">
        <w:t xml:space="preserve"> in the draft consent</w:t>
      </w:r>
      <w:r>
        <w:t>.</w:t>
      </w:r>
    </w:p>
    <w:p w14:paraId="50AA6FA6" w14:textId="77777777" w:rsidR="005C307A" w:rsidRPr="00B62066" w:rsidRDefault="0051452A" w:rsidP="005C307A">
      <w:pPr>
        <w:pStyle w:val="BodyText"/>
        <w:rPr>
          <w:b/>
        </w:rPr>
      </w:pPr>
      <w:r>
        <w:rPr>
          <w:b/>
        </w:rPr>
        <w:t>5.9</w:t>
      </w:r>
      <w:r>
        <w:rPr>
          <w:b/>
        </w:rPr>
        <w:tab/>
      </w:r>
      <w:r w:rsidR="005C307A" w:rsidRPr="00B62066">
        <w:rPr>
          <w:b/>
        </w:rPr>
        <w:t>Bushfire</w:t>
      </w:r>
    </w:p>
    <w:p w14:paraId="358A2306" w14:textId="77777777" w:rsidR="005C307A" w:rsidRDefault="00C45254" w:rsidP="005C307A">
      <w:pPr>
        <w:pStyle w:val="BodyText"/>
      </w:pPr>
      <w:r>
        <w:t>The lower part of the site is mapped as bushfire prone land with part of the upper site shown as being in the bushfire buffer area.</w:t>
      </w:r>
    </w:p>
    <w:p w14:paraId="0F6E705A" w14:textId="77777777" w:rsidR="00C45254" w:rsidRDefault="007A5E51" w:rsidP="005C307A">
      <w:pPr>
        <w:pStyle w:val="BodyText"/>
      </w:pPr>
      <w:r w:rsidRPr="007A5E51">
        <w:rPr>
          <w:noProof/>
        </w:rPr>
        <w:drawing>
          <wp:inline distT="0" distB="0" distL="0" distR="0" wp14:anchorId="1BD96816" wp14:editId="7E7AD8FF">
            <wp:extent cx="3903548" cy="23495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16057" cy="2357029"/>
                    </a:xfrm>
                    <a:prstGeom prst="rect">
                      <a:avLst/>
                    </a:prstGeom>
                  </pic:spPr>
                </pic:pic>
              </a:graphicData>
            </a:graphic>
          </wp:inline>
        </w:drawing>
      </w:r>
    </w:p>
    <w:p w14:paraId="1AD8F800" w14:textId="77777777" w:rsidR="00C45254" w:rsidRDefault="0009646F" w:rsidP="005C307A">
      <w:pPr>
        <w:pStyle w:val="BodyText"/>
      </w:pPr>
      <w:r>
        <w:t xml:space="preserve">The proposed health services facility is not a ‘special fire protection purpose’ as defined by s100B of the Rural Fires Act 1997, nor is it prescribed by the Rural Fires Regulation 2022, therefore no bush fire safety authority or referral to the Rural Fire Service is required. The proposal is not integrated development for the purposes of the Rural Fires Act 1997 or </w:t>
      </w:r>
      <w:r w:rsidR="005B01D7">
        <w:t>s4.46(1) of the Environmental Planning &amp; Assessment Act 1979.</w:t>
      </w:r>
    </w:p>
    <w:p w14:paraId="10AEE089" w14:textId="77777777" w:rsidR="005B01D7" w:rsidRDefault="005B01D7" w:rsidP="005C307A">
      <w:pPr>
        <w:pStyle w:val="BodyText"/>
      </w:pPr>
      <w:r>
        <w:t>However, the applicant has submitted a Bushfire Assessment Report, prepared by Barnson and dated 6 April, 2021. Its recommendations contain a number of bushfire protection measures that must be incorporated in order to ensure that the development can be suitably protected from bushfires and complies with the requirements of the Rural Fire Service’s guide ‘</w:t>
      </w:r>
      <w:r w:rsidRPr="005B01D7">
        <w:rPr>
          <w:i/>
        </w:rPr>
        <w:t>Planning for Bushfire Protection 2019</w:t>
      </w:r>
      <w:r>
        <w:rPr>
          <w:i/>
        </w:rPr>
        <w:t xml:space="preserve"> (A guide for councils, planners, fire authorities and developers)’</w:t>
      </w:r>
      <w:r>
        <w:t>. These include:</w:t>
      </w:r>
    </w:p>
    <w:p w14:paraId="1FE894A7" w14:textId="77777777" w:rsidR="005B01D7" w:rsidRPr="00FF260C" w:rsidRDefault="005B01D7" w:rsidP="003860D4">
      <w:pPr>
        <w:pStyle w:val="ListParagraph"/>
        <w:numPr>
          <w:ilvl w:val="0"/>
          <w:numId w:val="16"/>
        </w:numPr>
        <w:autoSpaceDE w:val="0"/>
        <w:autoSpaceDN w:val="0"/>
        <w:adjustRightInd w:val="0"/>
        <w:rPr>
          <w:b/>
        </w:rPr>
      </w:pPr>
      <w:r w:rsidRPr="00FF260C">
        <w:rPr>
          <w:b/>
        </w:rPr>
        <w:t>Asset Projection Zone/Defendable Space</w:t>
      </w:r>
    </w:p>
    <w:p w14:paraId="389B9CF1" w14:textId="77777777" w:rsidR="00FF260C" w:rsidRPr="005B01D7" w:rsidRDefault="00FF260C" w:rsidP="005B01D7">
      <w:pPr>
        <w:autoSpaceDE w:val="0"/>
        <w:autoSpaceDN w:val="0"/>
        <w:adjustRightInd w:val="0"/>
      </w:pPr>
    </w:p>
    <w:p w14:paraId="44E08DF6" w14:textId="77777777" w:rsidR="005B01D7" w:rsidRPr="005B01D7" w:rsidRDefault="005B01D7" w:rsidP="005B01D7">
      <w:pPr>
        <w:autoSpaceDE w:val="0"/>
        <w:autoSpaceDN w:val="0"/>
        <w:adjustRightInd w:val="0"/>
      </w:pPr>
      <w:r w:rsidRPr="005B01D7">
        <w:t>The proposed structure to be located on the site shall be afforded with an Asset</w:t>
      </w:r>
      <w:r w:rsidR="00FF260C">
        <w:t xml:space="preserve"> </w:t>
      </w:r>
      <w:r w:rsidRPr="005B01D7">
        <w:t xml:space="preserve">Protection Zone </w:t>
      </w:r>
      <w:r w:rsidR="00FF260C">
        <w:t xml:space="preserve">(APZ) </w:t>
      </w:r>
      <w:r w:rsidRPr="005B01D7">
        <w:t>of 20m for Plots 6 and 7 only</w:t>
      </w:r>
      <w:r w:rsidR="006915D7">
        <w:t xml:space="preserve"> as highlighted in the Bushfire Assessment Report</w:t>
      </w:r>
      <w:r w:rsidR="00FF260C">
        <w:t>.</w:t>
      </w:r>
      <w:r w:rsidR="006915D7">
        <w:t xml:space="preserve"> This is the land closest to the D</w:t>
      </w:r>
      <w:r w:rsidR="0015796C">
        <w:t>a</w:t>
      </w:r>
      <w:r w:rsidR="006915D7">
        <w:t>rling River, the river itself and opposite bank</w:t>
      </w:r>
      <w:r w:rsidR="0015796C">
        <w:t>.</w:t>
      </w:r>
      <w:r w:rsidR="00FF260C">
        <w:t xml:space="preserve"> </w:t>
      </w:r>
      <w:r w:rsidRPr="005B01D7">
        <w:t>It is recommended that the entire site be managed as an Asset Protection Zone</w:t>
      </w:r>
      <w:r w:rsidR="00FF260C">
        <w:t xml:space="preserve"> and the</w:t>
      </w:r>
      <w:r w:rsidRPr="005B01D7">
        <w:t xml:space="preserve"> APZ’s are to be managed in accordance with Appendix 4 of </w:t>
      </w:r>
      <w:r w:rsidR="00FF260C" w:rsidRPr="005B01D7">
        <w:rPr>
          <w:i/>
        </w:rPr>
        <w:t>Planning for Bushfire Protection 2019</w:t>
      </w:r>
      <w:r w:rsidRPr="005B01D7">
        <w:t>.</w:t>
      </w:r>
    </w:p>
    <w:p w14:paraId="75B2E9FC" w14:textId="77777777" w:rsidR="00FF260C" w:rsidRDefault="00FF260C" w:rsidP="005B01D7">
      <w:pPr>
        <w:autoSpaceDE w:val="0"/>
        <w:autoSpaceDN w:val="0"/>
        <w:adjustRightInd w:val="0"/>
      </w:pPr>
    </w:p>
    <w:p w14:paraId="6BC75DA8" w14:textId="77777777" w:rsidR="005B01D7" w:rsidRPr="00FF260C" w:rsidRDefault="005B01D7" w:rsidP="003860D4">
      <w:pPr>
        <w:pStyle w:val="ListParagraph"/>
        <w:numPr>
          <w:ilvl w:val="0"/>
          <w:numId w:val="16"/>
        </w:numPr>
        <w:autoSpaceDE w:val="0"/>
        <w:autoSpaceDN w:val="0"/>
        <w:adjustRightInd w:val="0"/>
        <w:rPr>
          <w:b/>
        </w:rPr>
      </w:pPr>
      <w:r w:rsidRPr="00FF260C">
        <w:rPr>
          <w:b/>
        </w:rPr>
        <w:t>Landscaping</w:t>
      </w:r>
    </w:p>
    <w:p w14:paraId="5A60F2A3" w14:textId="77777777" w:rsidR="00FF260C" w:rsidRDefault="00FF260C" w:rsidP="005B01D7">
      <w:pPr>
        <w:autoSpaceDE w:val="0"/>
        <w:autoSpaceDN w:val="0"/>
        <w:adjustRightInd w:val="0"/>
      </w:pPr>
    </w:p>
    <w:p w14:paraId="544933C0" w14:textId="77777777" w:rsidR="005B01D7" w:rsidRPr="005B01D7" w:rsidRDefault="005B01D7" w:rsidP="005B01D7">
      <w:pPr>
        <w:autoSpaceDE w:val="0"/>
        <w:autoSpaceDN w:val="0"/>
        <w:adjustRightInd w:val="0"/>
      </w:pPr>
      <w:r w:rsidRPr="005B01D7">
        <w:t xml:space="preserve">The applied </w:t>
      </w:r>
      <w:r w:rsidR="00FF260C">
        <w:t>APZs</w:t>
      </w:r>
      <w:r w:rsidRPr="005B01D7">
        <w:t xml:space="preserve"> shall be established and maintained in</w:t>
      </w:r>
      <w:r w:rsidR="00FF260C">
        <w:t xml:space="preserve"> </w:t>
      </w:r>
      <w:r w:rsidRPr="005B01D7">
        <w:t xml:space="preserve">accordance with Appendix 4 of </w:t>
      </w:r>
      <w:r w:rsidR="00FF260C" w:rsidRPr="005B01D7">
        <w:rPr>
          <w:i/>
        </w:rPr>
        <w:t>Planning for Bushfire Protection 2019</w:t>
      </w:r>
      <w:r w:rsidR="00FF260C">
        <w:rPr>
          <w:i/>
        </w:rPr>
        <w:t xml:space="preserve"> </w:t>
      </w:r>
      <w:r w:rsidRPr="005B01D7">
        <w:t>and the applicable Asset Protection Zone</w:t>
      </w:r>
    </w:p>
    <w:p w14:paraId="1753331B" w14:textId="77777777" w:rsidR="00FF260C" w:rsidRDefault="00FF260C" w:rsidP="005B01D7">
      <w:pPr>
        <w:autoSpaceDE w:val="0"/>
        <w:autoSpaceDN w:val="0"/>
        <w:adjustRightInd w:val="0"/>
      </w:pPr>
    </w:p>
    <w:p w14:paraId="6DDC4AED" w14:textId="77777777" w:rsidR="0015796C" w:rsidRDefault="0015796C" w:rsidP="005B01D7">
      <w:pPr>
        <w:autoSpaceDE w:val="0"/>
        <w:autoSpaceDN w:val="0"/>
        <w:adjustRightInd w:val="0"/>
      </w:pPr>
    </w:p>
    <w:p w14:paraId="3733682D" w14:textId="77777777" w:rsidR="005B01D7" w:rsidRPr="00FF260C" w:rsidRDefault="005B01D7" w:rsidP="003860D4">
      <w:pPr>
        <w:pStyle w:val="ListParagraph"/>
        <w:numPr>
          <w:ilvl w:val="0"/>
          <w:numId w:val="16"/>
        </w:numPr>
        <w:autoSpaceDE w:val="0"/>
        <w:autoSpaceDN w:val="0"/>
        <w:adjustRightInd w:val="0"/>
        <w:rPr>
          <w:b/>
        </w:rPr>
      </w:pPr>
      <w:r w:rsidRPr="00FF260C">
        <w:rPr>
          <w:b/>
        </w:rPr>
        <w:lastRenderedPageBreak/>
        <w:t>Standards</w:t>
      </w:r>
    </w:p>
    <w:p w14:paraId="4A304669" w14:textId="77777777" w:rsidR="00FF260C" w:rsidRDefault="00FF260C" w:rsidP="005B01D7">
      <w:pPr>
        <w:autoSpaceDE w:val="0"/>
        <w:autoSpaceDN w:val="0"/>
        <w:adjustRightInd w:val="0"/>
      </w:pPr>
    </w:p>
    <w:p w14:paraId="390A0F99" w14:textId="77777777" w:rsidR="005B01D7" w:rsidRDefault="005B01D7" w:rsidP="005B01D7">
      <w:pPr>
        <w:autoSpaceDE w:val="0"/>
        <w:autoSpaceDN w:val="0"/>
        <w:adjustRightInd w:val="0"/>
      </w:pPr>
      <w:r w:rsidRPr="005B01D7">
        <w:t>There shall be no branches overhanging the roof of any proposed structures</w:t>
      </w:r>
      <w:r w:rsidR="00FF260C">
        <w:t xml:space="preserve"> </w:t>
      </w:r>
      <w:r w:rsidRPr="005B01D7">
        <w:t>and new plantings shall be established to ensure that there are no continuous</w:t>
      </w:r>
      <w:r w:rsidR="00FF260C">
        <w:t xml:space="preserve"> </w:t>
      </w:r>
      <w:r w:rsidRPr="005B01D7">
        <w:t>tree canopies.</w:t>
      </w:r>
    </w:p>
    <w:p w14:paraId="5205382C" w14:textId="77777777" w:rsidR="00FF260C" w:rsidRPr="005B01D7" w:rsidRDefault="00FF260C" w:rsidP="005B01D7">
      <w:pPr>
        <w:autoSpaceDE w:val="0"/>
        <w:autoSpaceDN w:val="0"/>
        <w:adjustRightInd w:val="0"/>
      </w:pPr>
    </w:p>
    <w:p w14:paraId="2D48D6CA" w14:textId="77777777" w:rsidR="005B01D7" w:rsidRPr="00FF260C" w:rsidRDefault="005B01D7" w:rsidP="003860D4">
      <w:pPr>
        <w:pStyle w:val="ListParagraph"/>
        <w:numPr>
          <w:ilvl w:val="0"/>
          <w:numId w:val="16"/>
        </w:numPr>
        <w:autoSpaceDE w:val="0"/>
        <w:autoSpaceDN w:val="0"/>
        <w:adjustRightInd w:val="0"/>
        <w:rPr>
          <w:b/>
        </w:rPr>
      </w:pPr>
      <w:r w:rsidRPr="00FF260C">
        <w:rPr>
          <w:b/>
        </w:rPr>
        <w:t>Construction Standards</w:t>
      </w:r>
    </w:p>
    <w:p w14:paraId="5E64BEF3" w14:textId="77777777" w:rsidR="00FF260C" w:rsidRDefault="00FF260C" w:rsidP="005B01D7">
      <w:pPr>
        <w:autoSpaceDE w:val="0"/>
        <w:autoSpaceDN w:val="0"/>
        <w:adjustRightInd w:val="0"/>
      </w:pPr>
    </w:p>
    <w:p w14:paraId="59FE59A0" w14:textId="77777777" w:rsidR="005B01D7" w:rsidRDefault="005B01D7" w:rsidP="005B01D7">
      <w:pPr>
        <w:autoSpaceDE w:val="0"/>
        <w:autoSpaceDN w:val="0"/>
        <w:adjustRightInd w:val="0"/>
      </w:pPr>
      <w:r w:rsidRPr="005B01D7">
        <w:t xml:space="preserve">The proposed development is to be constructed to a </w:t>
      </w:r>
      <w:r w:rsidR="0015796C">
        <w:t>Bushfire Attack Level (</w:t>
      </w:r>
      <w:r w:rsidRPr="005B01D7">
        <w:t>BAL</w:t>
      </w:r>
      <w:r w:rsidR="0015796C">
        <w:t>)</w:t>
      </w:r>
      <w:r w:rsidRPr="005B01D7">
        <w:t xml:space="preserve"> 19 standard and in</w:t>
      </w:r>
      <w:r w:rsidR="00FF260C">
        <w:t xml:space="preserve"> </w:t>
      </w:r>
      <w:r w:rsidRPr="005B01D7">
        <w:t>accordance with PBP/AS 3959:2009. The BAL does not apply to class 10a</w:t>
      </w:r>
      <w:r w:rsidR="00FF260C">
        <w:t xml:space="preserve"> </w:t>
      </w:r>
      <w:r w:rsidRPr="005B01D7">
        <w:t>storage structures.</w:t>
      </w:r>
    </w:p>
    <w:p w14:paraId="0DC137CE" w14:textId="77777777" w:rsidR="00FF260C" w:rsidRPr="005B01D7" w:rsidRDefault="00FF260C" w:rsidP="005B01D7">
      <w:pPr>
        <w:autoSpaceDE w:val="0"/>
        <w:autoSpaceDN w:val="0"/>
        <w:adjustRightInd w:val="0"/>
      </w:pPr>
    </w:p>
    <w:p w14:paraId="488683CC" w14:textId="77777777" w:rsidR="005B01D7" w:rsidRPr="00FF260C" w:rsidRDefault="005B01D7" w:rsidP="003860D4">
      <w:pPr>
        <w:pStyle w:val="ListParagraph"/>
        <w:numPr>
          <w:ilvl w:val="0"/>
          <w:numId w:val="16"/>
        </w:numPr>
        <w:autoSpaceDE w:val="0"/>
        <w:autoSpaceDN w:val="0"/>
        <w:adjustRightInd w:val="0"/>
        <w:rPr>
          <w:b/>
        </w:rPr>
      </w:pPr>
      <w:r w:rsidRPr="00FF260C">
        <w:rPr>
          <w:b/>
        </w:rPr>
        <w:t>Access</w:t>
      </w:r>
    </w:p>
    <w:p w14:paraId="6B7AF828" w14:textId="77777777" w:rsidR="00FF260C" w:rsidRPr="005B01D7" w:rsidRDefault="00FF260C" w:rsidP="005B01D7">
      <w:pPr>
        <w:autoSpaceDE w:val="0"/>
        <w:autoSpaceDN w:val="0"/>
        <w:adjustRightInd w:val="0"/>
      </w:pPr>
    </w:p>
    <w:p w14:paraId="678F0892" w14:textId="77777777" w:rsidR="005B01D7" w:rsidRDefault="005B01D7" w:rsidP="005B01D7">
      <w:pPr>
        <w:autoSpaceDE w:val="0"/>
        <w:autoSpaceDN w:val="0"/>
        <w:adjustRightInd w:val="0"/>
      </w:pPr>
      <w:r w:rsidRPr="005B01D7">
        <w:t>Access to water tanks shall be kept clear at all times</w:t>
      </w:r>
      <w:r w:rsidR="00FF260C">
        <w:t>.</w:t>
      </w:r>
    </w:p>
    <w:p w14:paraId="7548B48F" w14:textId="77777777" w:rsidR="00FF260C" w:rsidRPr="005B01D7" w:rsidRDefault="00FF260C" w:rsidP="005B01D7">
      <w:pPr>
        <w:autoSpaceDE w:val="0"/>
        <w:autoSpaceDN w:val="0"/>
        <w:adjustRightInd w:val="0"/>
      </w:pPr>
    </w:p>
    <w:p w14:paraId="0143C4E5" w14:textId="77777777" w:rsidR="005B01D7" w:rsidRDefault="005B01D7" w:rsidP="005B01D7">
      <w:pPr>
        <w:autoSpaceDE w:val="0"/>
        <w:autoSpaceDN w:val="0"/>
        <w:adjustRightInd w:val="0"/>
      </w:pPr>
      <w:r w:rsidRPr="005B01D7">
        <w:t>Any traffic management devices shall not prohibit access for emergency</w:t>
      </w:r>
      <w:r w:rsidR="00FF260C">
        <w:t xml:space="preserve"> </w:t>
      </w:r>
      <w:r w:rsidRPr="005B01D7">
        <w:t>vehicles</w:t>
      </w:r>
      <w:r w:rsidR="00FF260C">
        <w:t>.</w:t>
      </w:r>
    </w:p>
    <w:p w14:paraId="1FE52AE2" w14:textId="77777777" w:rsidR="00FF260C" w:rsidRPr="005B01D7" w:rsidRDefault="00FF260C" w:rsidP="005B01D7">
      <w:pPr>
        <w:autoSpaceDE w:val="0"/>
        <w:autoSpaceDN w:val="0"/>
        <w:adjustRightInd w:val="0"/>
      </w:pPr>
    </w:p>
    <w:p w14:paraId="35AAE197" w14:textId="77777777" w:rsidR="005B01D7" w:rsidRDefault="005B01D7" w:rsidP="005B01D7">
      <w:pPr>
        <w:autoSpaceDE w:val="0"/>
        <w:autoSpaceDN w:val="0"/>
        <w:adjustRightInd w:val="0"/>
      </w:pPr>
      <w:r w:rsidRPr="005B01D7">
        <w:t xml:space="preserve">Turning areas as shall be established in accordance with Appendix 3 of </w:t>
      </w:r>
      <w:r w:rsidR="00FF260C" w:rsidRPr="005B01D7">
        <w:rPr>
          <w:i/>
        </w:rPr>
        <w:t>Planning for Bushfire Protection 2019</w:t>
      </w:r>
      <w:r w:rsidR="00FF260C">
        <w:rPr>
          <w:i/>
        </w:rPr>
        <w:t>.</w:t>
      </w:r>
    </w:p>
    <w:p w14:paraId="779D39C1" w14:textId="77777777" w:rsidR="00FF260C" w:rsidRPr="005B01D7" w:rsidRDefault="00FF260C" w:rsidP="005B01D7">
      <w:pPr>
        <w:autoSpaceDE w:val="0"/>
        <w:autoSpaceDN w:val="0"/>
        <w:adjustRightInd w:val="0"/>
      </w:pPr>
    </w:p>
    <w:p w14:paraId="65BD85D1" w14:textId="77777777" w:rsidR="005B01D7" w:rsidRDefault="005B01D7" w:rsidP="005B01D7">
      <w:pPr>
        <w:autoSpaceDE w:val="0"/>
        <w:autoSpaceDN w:val="0"/>
        <w:adjustRightInd w:val="0"/>
      </w:pPr>
      <w:r w:rsidRPr="005B01D7">
        <w:t>The access roads shall be constructed to be capable of carrying a fully loaded</w:t>
      </w:r>
      <w:r w:rsidR="00FF260C">
        <w:t xml:space="preserve"> </w:t>
      </w:r>
      <w:r w:rsidRPr="005B01D7">
        <w:t>firefighting vehicle up to 23 tonnes</w:t>
      </w:r>
      <w:r w:rsidR="00FF260C">
        <w:t>.</w:t>
      </w:r>
    </w:p>
    <w:p w14:paraId="32C38190" w14:textId="77777777" w:rsidR="00FF260C" w:rsidRPr="005B01D7" w:rsidRDefault="00FF260C" w:rsidP="005B01D7">
      <w:pPr>
        <w:autoSpaceDE w:val="0"/>
        <w:autoSpaceDN w:val="0"/>
        <w:adjustRightInd w:val="0"/>
      </w:pPr>
    </w:p>
    <w:p w14:paraId="114E349A" w14:textId="77777777" w:rsidR="005B01D7" w:rsidRDefault="005B01D7" w:rsidP="005B01D7">
      <w:pPr>
        <w:autoSpaceDE w:val="0"/>
        <w:autoSpaceDN w:val="0"/>
        <w:adjustRightInd w:val="0"/>
      </w:pPr>
      <w:r w:rsidRPr="005B01D7">
        <w:t>All internal roads are to be at least 4m in width and no bridges or causeways</w:t>
      </w:r>
      <w:r w:rsidR="00FF260C">
        <w:t xml:space="preserve"> </w:t>
      </w:r>
      <w:r w:rsidRPr="005B01D7">
        <w:t>are to be constructed, however if required, shall be constructed and</w:t>
      </w:r>
      <w:r w:rsidR="00FF260C">
        <w:t xml:space="preserve"> </w:t>
      </w:r>
      <w:r w:rsidRPr="005B01D7">
        <w:t xml:space="preserve">maintained in accordance with </w:t>
      </w:r>
      <w:r w:rsidR="00FF260C" w:rsidRPr="005B01D7">
        <w:rPr>
          <w:i/>
        </w:rPr>
        <w:t>Planning for Bushfire Protection 2019</w:t>
      </w:r>
      <w:r w:rsidR="00FF260C">
        <w:rPr>
          <w:i/>
        </w:rPr>
        <w:t xml:space="preserve"> </w:t>
      </w:r>
      <w:r w:rsidRPr="005B01D7">
        <w:t>provisions.</w:t>
      </w:r>
    </w:p>
    <w:p w14:paraId="0044AFC5" w14:textId="77777777" w:rsidR="00FF260C" w:rsidRPr="005B01D7" w:rsidRDefault="00FF260C" w:rsidP="005B01D7">
      <w:pPr>
        <w:autoSpaceDE w:val="0"/>
        <w:autoSpaceDN w:val="0"/>
        <w:adjustRightInd w:val="0"/>
      </w:pPr>
    </w:p>
    <w:p w14:paraId="6617D867" w14:textId="77777777" w:rsidR="005B01D7" w:rsidRPr="005B01D7" w:rsidRDefault="005B01D7" w:rsidP="005B01D7">
      <w:pPr>
        <w:autoSpaceDE w:val="0"/>
        <w:autoSpaceDN w:val="0"/>
        <w:adjustRightInd w:val="0"/>
      </w:pPr>
      <w:r w:rsidRPr="005B01D7">
        <w:t>No tree plantings or obstructions shall occur on either side of the access roads</w:t>
      </w:r>
    </w:p>
    <w:p w14:paraId="3BD5DE55" w14:textId="77777777" w:rsidR="005B01D7" w:rsidRDefault="005B01D7" w:rsidP="005B01D7">
      <w:pPr>
        <w:autoSpaceDE w:val="0"/>
        <w:autoSpaceDN w:val="0"/>
        <w:adjustRightInd w:val="0"/>
      </w:pPr>
      <w:r w:rsidRPr="005B01D7">
        <w:t>that would prohibit access to and from the site in the event of fire.</w:t>
      </w:r>
    </w:p>
    <w:p w14:paraId="16BF2EDC" w14:textId="77777777" w:rsidR="00FF260C" w:rsidRPr="005B01D7" w:rsidRDefault="00FF260C" w:rsidP="005B01D7">
      <w:pPr>
        <w:autoSpaceDE w:val="0"/>
        <w:autoSpaceDN w:val="0"/>
        <w:adjustRightInd w:val="0"/>
      </w:pPr>
    </w:p>
    <w:p w14:paraId="3F756871" w14:textId="77777777" w:rsidR="005B01D7" w:rsidRPr="00FF260C" w:rsidRDefault="005B01D7" w:rsidP="003860D4">
      <w:pPr>
        <w:pStyle w:val="ListParagraph"/>
        <w:numPr>
          <w:ilvl w:val="0"/>
          <w:numId w:val="16"/>
        </w:numPr>
        <w:autoSpaceDE w:val="0"/>
        <w:autoSpaceDN w:val="0"/>
        <w:adjustRightInd w:val="0"/>
        <w:rPr>
          <w:b/>
        </w:rPr>
      </w:pPr>
      <w:r w:rsidRPr="00FF260C">
        <w:rPr>
          <w:b/>
        </w:rPr>
        <w:t>Services</w:t>
      </w:r>
    </w:p>
    <w:p w14:paraId="16348B93" w14:textId="77777777" w:rsidR="00FF260C" w:rsidRPr="005B01D7" w:rsidRDefault="00FF260C" w:rsidP="005B01D7">
      <w:pPr>
        <w:autoSpaceDE w:val="0"/>
        <w:autoSpaceDN w:val="0"/>
        <w:adjustRightInd w:val="0"/>
      </w:pPr>
    </w:p>
    <w:p w14:paraId="78DB35AE" w14:textId="77777777" w:rsidR="005B01D7" w:rsidRPr="00FF260C" w:rsidRDefault="005B01D7" w:rsidP="00FF260C">
      <w:pPr>
        <w:autoSpaceDE w:val="0"/>
        <w:autoSpaceDN w:val="0"/>
        <w:adjustRightInd w:val="0"/>
        <w:rPr>
          <w:b/>
        </w:rPr>
      </w:pPr>
      <w:r w:rsidRPr="00FF260C">
        <w:rPr>
          <w:b/>
        </w:rPr>
        <w:t>Water</w:t>
      </w:r>
    </w:p>
    <w:p w14:paraId="0CA745A8" w14:textId="77777777" w:rsidR="00FF260C" w:rsidRPr="005B01D7" w:rsidRDefault="00FF260C" w:rsidP="005B01D7">
      <w:pPr>
        <w:autoSpaceDE w:val="0"/>
        <w:autoSpaceDN w:val="0"/>
        <w:adjustRightInd w:val="0"/>
      </w:pPr>
    </w:p>
    <w:p w14:paraId="0827F1CF" w14:textId="77777777" w:rsidR="005B01D7" w:rsidRDefault="005B01D7" w:rsidP="005B01D7">
      <w:pPr>
        <w:autoSpaceDE w:val="0"/>
        <w:autoSpaceDN w:val="0"/>
        <w:adjustRightInd w:val="0"/>
      </w:pPr>
      <w:r w:rsidRPr="005B01D7">
        <w:t>Reticulated water supply shall be provided with access points and fire</w:t>
      </w:r>
      <w:r w:rsidR="00FF260C">
        <w:t xml:space="preserve"> </w:t>
      </w:r>
      <w:r w:rsidRPr="005B01D7">
        <w:t>hydrants located on the site. The water supply shall be easily accessible for</w:t>
      </w:r>
      <w:r w:rsidR="00FF260C">
        <w:t xml:space="preserve"> </w:t>
      </w:r>
      <w:r w:rsidRPr="005B01D7">
        <w:t>fire fighting vehicles;</w:t>
      </w:r>
    </w:p>
    <w:p w14:paraId="7F745961" w14:textId="77777777" w:rsidR="00FF260C" w:rsidRPr="005B01D7" w:rsidRDefault="00FF260C" w:rsidP="005B01D7">
      <w:pPr>
        <w:autoSpaceDE w:val="0"/>
        <w:autoSpaceDN w:val="0"/>
        <w:adjustRightInd w:val="0"/>
      </w:pPr>
    </w:p>
    <w:p w14:paraId="2D95CD82" w14:textId="77777777" w:rsidR="005B01D7" w:rsidRDefault="005B01D7" w:rsidP="005B01D7">
      <w:pPr>
        <w:autoSpaceDE w:val="0"/>
        <w:autoSpaceDN w:val="0"/>
        <w:adjustRightInd w:val="0"/>
      </w:pPr>
      <w:r w:rsidRPr="005B01D7">
        <w:rPr>
          <w:rFonts w:hint="eastAsia"/>
        </w:rPr>
        <w:t>▪</w:t>
      </w:r>
      <w:r w:rsidRPr="005B01D7">
        <w:t xml:space="preserve"> Hardened driveways are to be provided to the access points;</w:t>
      </w:r>
    </w:p>
    <w:p w14:paraId="66F9C406" w14:textId="77777777" w:rsidR="00FF260C" w:rsidRPr="005B01D7" w:rsidRDefault="00FF260C" w:rsidP="005B01D7">
      <w:pPr>
        <w:autoSpaceDE w:val="0"/>
        <w:autoSpaceDN w:val="0"/>
        <w:adjustRightInd w:val="0"/>
      </w:pPr>
    </w:p>
    <w:p w14:paraId="16E2052E" w14:textId="77777777" w:rsidR="005B01D7" w:rsidRDefault="005B01D7" w:rsidP="005B01D7">
      <w:pPr>
        <w:autoSpaceDE w:val="0"/>
        <w:autoSpaceDN w:val="0"/>
        <w:adjustRightInd w:val="0"/>
      </w:pPr>
      <w:r w:rsidRPr="005B01D7">
        <w:rPr>
          <w:rFonts w:hint="eastAsia"/>
        </w:rPr>
        <w:t>▪</w:t>
      </w:r>
      <w:r w:rsidRPr="005B01D7">
        <w:t xml:space="preserve"> Fire hydrants are to be located, spaced, sized and pressured to comply with</w:t>
      </w:r>
      <w:r w:rsidR="00FF260C">
        <w:t xml:space="preserve"> </w:t>
      </w:r>
      <w:r w:rsidRPr="005B01D7">
        <w:t>AS2419.1;</w:t>
      </w:r>
    </w:p>
    <w:p w14:paraId="77ED77DF" w14:textId="77777777" w:rsidR="00FF260C" w:rsidRPr="005B01D7" w:rsidRDefault="00FF260C" w:rsidP="005B01D7">
      <w:pPr>
        <w:autoSpaceDE w:val="0"/>
        <w:autoSpaceDN w:val="0"/>
        <w:adjustRightInd w:val="0"/>
      </w:pPr>
    </w:p>
    <w:p w14:paraId="6C1C8EC2" w14:textId="77777777" w:rsidR="005B01D7" w:rsidRDefault="005B01D7" w:rsidP="005B01D7">
      <w:pPr>
        <w:autoSpaceDE w:val="0"/>
        <w:autoSpaceDN w:val="0"/>
        <w:adjustRightInd w:val="0"/>
      </w:pPr>
      <w:r w:rsidRPr="005B01D7">
        <w:rPr>
          <w:rFonts w:hint="eastAsia"/>
        </w:rPr>
        <w:t>▪</w:t>
      </w:r>
      <w:r w:rsidRPr="005B01D7">
        <w:t xml:space="preserve"> All aboveground water service pipes including taps etc shall be constructed of</w:t>
      </w:r>
      <w:r w:rsidR="00FF260C">
        <w:t xml:space="preserve"> </w:t>
      </w:r>
      <w:r w:rsidRPr="005B01D7">
        <w:t>metal material.</w:t>
      </w:r>
    </w:p>
    <w:p w14:paraId="1E9DA649" w14:textId="77777777" w:rsidR="00FF260C" w:rsidRPr="005B01D7" w:rsidRDefault="00FF260C" w:rsidP="005B01D7">
      <w:pPr>
        <w:autoSpaceDE w:val="0"/>
        <w:autoSpaceDN w:val="0"/>
        <w:adjustRightInd w:val="0"/>
      </w:pPr>
    </w:p>
    <w:p w14:paraId="2100F119" w14:textId="77777777" w:rsidR="005B01D7" w:rsidRPr="0051452A" w:rsidRDefault="005B01D7" w:rsidP="003860D4">
      <w:pPr>
        <w:pStyle w:val="ListParagraph"/>
        <w:numPr>
          <w:ilvl w:val="0"/>
          <w:numId w:val="16"/>
        </w:numPr>
        <w:autoSpaceDE w:val="0"/>
        <w:autoSpaceDN w:val="0"/>
        <w:adjustRightInd w:val="0"/>
        <w:rPr>
          <w:b/>
        </w:rPr>
      </w:pPr>
      <w:r w:rsidRPr="0051452A">
        <w:rPr>
          <w:b/>
        </w:rPr>
        <w:t>Electricity and Gas</w:t>
      </w:r>
    </w:p>
    <w:p w14:paraId="3C2E16DC" w14:textId="77777777" w:rsidR="00FF260C" w:rsidRPr="005B01D7" w:rsidRDefault="00FF260C" w:rsidP="005B01D7">
      <w:pPr>
        <w:autoSpaceDE w:val="0"/>
        <w:autoSpaceDN w:val="0"/>
        <w:adjustRightInd w:val="0"/>
      </w:pPr>
    </w:p>
    <w:p w14:paraId="4F2FDA66" w14:textId="77777777" w:rsidR="005B01D7" w:rsidRDefault="005B01D7" w:rsidP="005B01D7">
      <w:pPr>
        <w:autoSpaceDE w:val="0"/>
        <w:autoSpaceDN w:val="0"/>
        <w:adjustRightInd w:val="0"/>
      </w:pPr>
      <w:r w:rsidRPr="005B01D7">
        <w:t>Vegetation around existing/new transmission lines are to be maintained in</w:t>
      </w:r>
      <w:r w:rsidR="00FF260C">
        <w:t xml:space="preserve"> </w:t>
      </w:r>
      <w:r w:rsidRPr="005B01D7">
        <w:t>accordance with the specifications in ISSC3 Guideline for Managing</w:t>
      </w:r>
      <w:r w:rsidR="00FF260C">
        <w:t xml:space="preserve"> </w:t>
      </w:r>
      <w:r w:rsidRPr="005B01D7">
        <w:t>Vegetation Near Powerlines</w:t>
      </w:r>
      <w:r w:rsidR="00FF260C">
        <w:t xml:space="preserve">. (ISSC – Industry Safety Steering Committee) </w:t>
      </w:r>
    </w:p>
    <w:p w14:paraId="79DA6B25" w14:textId="77777777" w:rsidR="00FF260C" w:rsidRPr="005B01D7" w:rsidRDefault="00FF260C" w:rsidP="005B01D7">
      <w:pPr>
        <w:autoSpaceDE w:val="0"/>
        <w:autoSpaceDN w:val="0"/>
        <w:adjustRightInd w:val="0"/>
      </w:pPr>
    </w:p>
    <w:p w14:paraId="4B4D6074" w14:textId="77777777" w:rsidR="005B01D7" w:rsidRDefault="005B01D7" w:rsidP="005B01D7">
      <w:pPr>
        <w:autoSpaceDE w:val="0"/>
        <w:autoSpaceDN w:val="0"/>
        <w:adjustRightInd w:val="0"/>
      </w:pPr>
      <w:r w:rsidRPr="005B01D7">
        <w:t>Any proposed gas bottles shall be installed and maintained in accordance with</w:t>
      </w:r>
      <w:r w:rsidR="00FF260C">
        <w:t xml:space="preserve"> </w:t>
      </w:r>
      <w:r w:rsidRPr="005B01D7">
        <w:t>AS/NZS 1596:2004 with metal piping used</w:t>
      </w:r>
      <w:r w:rsidR="00FF260C">
        <w:t>.</w:t>
      </w:r>
    </w:p>
    <w:p w14:paraId="727A1F46" w14:textId="77777777" w:rsidR="00FF260C" w:rsidRPr="005B01D7" w:rsidRDefault="00FF260C" w:rsidP="005B01D7">
      <w:pPr>
        <w:autoSpaceDE w:val="0"/>
        <w:autoSpaceDN w:val="0"/>
        <w:adjustRightInd w:val="0"/>
      </w:pPr>
    </w:p>
    <w:p w14:paraId="520EB82A" w14:textId="77777777" w:rsidR="005B01D7" w:rsidRDefault="005B01D7" w:rsidP="005B01D7">
      <w:pPr>
        <w:autoSpaceDE w:val="0"/>
        <w:autoSpaceDN w:val="0"/>
        <w:adjustRightInd w:val="0"/>
      </w:pPr>
      <w:r w:rsidRPr="005B01D7">
        <w:t>All fixed cylinders are to be kept clear of flammable materials to a distance of</w:t>
      </w:r>
      <w:r w:rsidR="00FF260C">
        <w:t xml:space="preserve"> </w:t>
      </w:r>
      <w:r w:rsidRPr="005B01D7">
        <w:t>10m (or appropriately shielded)</w:t>
      </w:r>
      <w:r w:rsidR="00FF260C">
        <w:t>.</w:t>
      </w:r>
    </w:p>
    <w:p w14:paraId="19BC074A" w14:textId="77777777" w:rsidR="00FF260C" w:rsidRPr="005B01D7" w:rsidRDefault="00FF260C" w:rsidP="005B01D7">
      <w:pPr>
        <w:autoSpaceDE w:val="0"/>
        <w:autoSpaceDN w:val="0"/>
        <w:adjustRightInd w:val="0"/>
      </w:pPr>
    </w:p>
    <w:p w14:paraId="5D70682A" w14:textId="77777777" w:rsidR="005B01D7" w:rsidRDefault="005B01D7" w:rsidP="005B01D7">
      <w:pPr>
        <w:autoSpaceDE w:val="0"/>
        <w:autoSpaceDN w:val="0"/>
        <w:adjustRightInd w:val="0"/>
      </w:pPr>
      <w:r w:rsidRPr="005B01D7">
        <w:t>All connections are to be of metal construction.</w:t>
      </w:r>
    </w:p>
    <w:p w14:paraId="3C58FBA2" w14:textId="77777777" w:rsidR="00FF260C" w:rsidRPr="005B01D7" w:rsidRDefault="00FF260C" w:rsidP="005B01D7">
      <w:pPr>
        <w:autoSpaceDE w:val="0"/>
        <w:autoSpaceDN w:val="0"/>
        <w:adjustRightInd w:val="0"/>
      </w:pPr>
    </w:p>
    <w:p w14:paraId="3CBA50AA" w14:textId="77777777" w:rsidR="005B01D7" w:rsidRPr="00FF260C" w:rsidRDefault="005B01D7" w:rsidP="003860D4">
      <w:pPr>
        <w:pStyle w:val="ListParagraph"/>
        <w:numPr>
          <w:ilvl w:val="0"/>
          <w:numId w:val="17"/>
        </w:numPr>
        <w:autoSpaceDE w:val="0"/>
        <w:autoSpaceDN w:val="0"/>
        <w:adjustRightInd w:val="0"/>
        <w:rPr>
          <w:b/>
        </w:rPr>
      </w:pPr>
      <w:r w:rsidRPr="00FF260C">
        <w:rPr>
          <w:b/>
        </w:rPr>
        <w:t>Bushfire Danger Period</w:t>
      </w:r>
    </w:p>
    <w:p w14:paraId="52B5694A" w14:textId="77777777" w:rsidR="00FF260C" w:rsidRPr="00FF260C" w:rsidRDefault="00FF260C" w:rsidP="005B01D7">
      <w:pPr>
        <w:autoSpaceDE w:val="0"/>
        <w:autoSpaceDN w:val="0"/>
        <w:adjustRightInd w:val="0"/>
        <w:rPr>
          <w:b/>
        </w:rPr>
      </w:pPr>
    </w:p>
    <w:p w14:paraId="14952C6E" w14:textId="77777777" w:rsidR="005B01D7" w:rsidRDefault="005B01D7" w:rsidP="005B01D7">
      <w:pPr>
        <w:autoSpaceDE w:val="0"/>
        <w:autoSpaceDN w:val="0"/>
        <w:adjustRightInd w:val="0"/>
      </w:pPr>
      <w:r w:rsidRPr="005B01D7">
        <w:t>Before the commencement of the Bushfire Danger Period, a review of the</w:t>
      </w:r>
      <w:r w:rsidR="00FF260C">
        <w:t xml:space="preserve"> </w:t>
      </w:r>
      <w:r w:rsidRPr="005B01D7">
        <w:t>vegetation on the site and applied BFPMs is recommended to be undertaken.</w:t>
      </w:r>
    </w:p>
    <w:p w14:paraId="39D624B2" w14:textId="77777777" w:rsidR="00FF260C" w:rsidRPr="005B01D7" w:rsidRDefault="00FF260C" w:rsidP="005B01D7">
      <w:pPr>
        <w:autoSpaceDE w:val="0"/>
        <w:autoSpaceDN w:val="0"/>
        <w:adjustRightInd w:val="0"/>
      </w:pPr>
    </w:p>
    <w:p w14:paraId="674A84FF" w14:textId="77777777" w:rsidR="005B01D7" w:rsidRDefault="005B01D7" w:rsidP="005B01D7">
      <w:pPr>
        <w:autoSpaceDE w:val="0"/>
        <w:autoSpaceDN w:val="0"/>
        <w:adjustRightInd w:val="0"/>
      </w:pPr>
      <w:r w:rsidRPr="005B01D7">
        <w:t>Fuel reduction measures are recommended throughout the site.</w:t>
      </w:r>
    </w:p>
    <w:p w14:paraId="30DD1DA7" w14:textId="77777777" w:rsidR="00FF260C" w:rsidRPr="005B01D7" w:rsidRDefault="00FF260C" w:rsidP="005B01D7">
      <w:pPr>
        <w:autoSpaceDE w:val="0"/>
        <w:autoSpaceDN w:val="0"/>
        <w:adjustRightInd w:val="0"/>
      </w:pPr>
    </w:p>
    <w:p w14:paraId="2DC7628A" w14:textId="77777777" w:rsidR="005B01D7" w:rsidRPr="00FF260C" w:rsidRDefault="005B01D7" w:rsidP="003860D4">
      <w:pPr>
        <w:pStyle w:val="ListParagraph"/>
        <w:numPr>
          <w:ilvl w:val="0"/>
          <w:numId w:val="17"/>
        </w:numPr>
        <w:autoSpaceDE w:val="0"/>
        <w:autoSpaceDN w:val="0"/>
        <w:adjustRightInd w:val="0"/>
        <w:rPr>
          <w:b/>
        </w:rPr>
      </w:pPr>
      <w:r w:rsidRPr="00FF260C">
        <w:rPr>
          <w:b/>
        </w:rPr>
        <w:t>Emergency Evacuation Plans:</w:t>
      </w:r>
    </w:p>
    <w:p w14:paraId="551C1DED" w14:textId="77777777" w:rsidR="00FF260C" w:rsidRPr="005B01D7" w:rsidRDefault="00FF260C" w:rsidP="005B01D7">
      <w:pPr>
        <w:autoSpaceDE w:val="0"/>
        <w:autoSpaceDN w:val="0"/>
        <w:adjustRightInd w:val="0"/>
      </w:pPr>
    </w:p>
    <w:p w14:paraId="32B4E61D" w14:textId="77777777" w:rsidR="005B01D7" w:rsidRDefault="005B01D7" w:rsidP="005B01D7">
      <w:pPr>
        <w:autoSpaceDE w:val="0"/>
        <w:autoSpaceDN w:val="0"/>
        <w:adjustRightInd w:val="0"/>
      </w:pPr>
      <w:r w:rsidRPr="005B01D7">
        <w:t>Preparation of a Bush Fire Emergency Management and Evacuation Plan, in</w:t>
      </w:r>
      <w:r w:rsidR="00FF260C">
        <w:t xml:space="preserve"> </w:t>
      </w:r>
      <w:r w:rsidRPr="005B01D7">
        <w:t>accordance with RFS requirements</w:t>
      </w:r>
      <w:r w:rsidR="00FF260C">
        <w:t>.</w:t>
      </w:r>
    </w:p>
    <w:p w14:paraId="60ECB848" w14:textId="77777777" w:rsidR="00FF260C" w:rsidRPr="005B01D7" w:rsidRDefault="00FF260C" w:rsidP="005B01D7">
      <w:pPr>
        <w:autoSpaceDE w:val="0"/>
        <w:autoSpaceDN w:val="0"/>
        <w:adjustRightInd w:val="0"/>
      </w:pPr>
    </w:p>
    <w:p w14:paraId="74668283" w14:textId="77777777" w:rsidR="005B01D7" w:rsidRPr="005B01D7" w:rsidRDefault="005B01D7" w:rsidP="005B01D7">
      <w:pPr>
        <w:autoSpaceDE w:val="0"/>
        <w:autoSpaceDN w:val="0"/>
        <w:adjustRightInd w:val="0"/>
      </w:pPr>
      <w:r w:rsidRPr="005B01D7">
        <w:t>An Emergency Planning Committee is required to be established for the facility</w:t>
      </w:r>
      <w:r w:rsidR="00FF260C">
        <w:t xml:space="preserve"> </w:t>
      </w:r>
      <w:r w:rsidRPr="005B01D7">
        <w:t xml:space="preserve">in accordance with </w:t>
      </w:r>
      <w:r w:rsidR="00FF260C" w:rsidRPr="005B01D7">
        <w:rPr>
          <w:i/>
        </w:rPr>
        <w:t>Planning for Bushfire Protection 2019</w:t>
      </w:r>
      <w:r w:rsidR="00FF260C">
        <w:rPr>
          <w:i/>
        </w:rPr>
        <w:t xml:space="preserve"> </w:t>
      </w:r>
      <w:r w:rsidRPr="005B01D7">
        <w:t>requirements</w:t>
      </w:r>
      <w:r w:rsidR="00FF260C">
        <w:t>.</w:t>
      </w:r>
    </w:p>
    <w:p w14:paraId="1BA9CC0F" w14:textId="77777777" w:rsidR="00FF260C" w:rsidRDefault="00FF260C" w:rsidP="005B01D7">
      <w:pPr>
        <w:autoSpaceDE w:val="0"/>
        <w:autoSpaceDN w:val="0"/>
        <w:adjustRightInd w:val="0"/>
      </w:pPr>
    </w:p>
    <w:p w14:paraId="5C0627A6" w14:textId="77777777" w:rsidR="005B01D7" w:rsidRDefault="005B01D7" w:rsidP="00FF260C">
      <w:pPr>
        <w:autoSpaceDE w:val="0"/>
        <w:autoSpaceDN w:val="0"/>
        <w:adjustRightInd w:val="0"/>
      </w:pPr>
      <w:r w:rsidRPr="005B01D7">
        <w:t>A Fire Management Plan (FMP) should be prepared for the property that is</w:t>
      </w:r>
      <w:r w:rsidR="00FF260C">
        <w:t xml:space="preserve"> </w:t>
      </w:r>
      <w:r w:rsidRPr="005B01D7">
        <w:t>reviewed and</w:t>
      </w:r>
      <w:r w:rsidR="00FF260C">
        <w:t xml:space="preserve"> updated annually.</w:t>
      </w:r>
    </w:p>
    <w:p w14:paraId="732C0117" w14:textId="77777777" w:rsidR="0009646F" w:rsidRDefault="0009646F" w:rsidP="005C307A">
      <w:pPr>
        <w:pStyle w:val="BodyText"/>
      </w:pPr>
    </w:p>
    <w:p w14:paraId="7A32BDDF" w14:textId="77777777" w:rsidR="007E2C02" w:rsidRPr="00A00BA5" w:rsidRDefault="007E2C02" w:rsidP="005C307A">
      <w:pPr>
        <w:pStyle w:val="BodyText"/>
      </w:pPr>
      <w:r>
        <w:t>All of these recommendations have been included as draft conditions of consent for the Panel’s consideration.</w:t>
      </w:r>
    </w:p>
    <w:p w14:paraId="07AB1138" w14:textId="77777777" w:rsidR="005C307A" w:rsidRPr="00B62066" w:rsidRDefault="0051452A" w:rsidP="005C307A">
      <w:pPr>
        <w:pStyle w:val="BodyText"/>
        <w:rPr>
          <w:b/>
        </w:rPr>
      </w:pPr>
      <w:r>
        <w:rPr>
          <w:b/>
        </w:rPr>
        <w:t>5.10</w:t>
      </w:r>
      <w:r>
        <w:rPr>
          <w:b/>
        </w:rPr>
        <w:tab/>
      </w:r>
      <w:r w:rsidR="005C307A" w:rsidRPr="00B62066">
        <w:rPr>
          <w:b/>
        </w:rPr>
        <w:t>Waste management</w:t>
      </w:r>
    </w:p>
    <w:p w14:paraId="48C058E6" w14:textId="77777777" w:rsidR="005C307A" w:rsidRPr="00A00BA5" w:rsidRDefault="00792138" w:rsidP="005C307A">
      <w:pPr>
        <w:pStyle w:val="BodyText"/>
      </w:pPr>
      <w:r>
        <w:t>The facility is unlikely to generated a significant amount of waste. The proponent should contact Central Darling Shire Council and/or a private waste contractor regarding the storage and removal of waste and with NSW Health regarding the disposal of any clinical waste that might arise from the use of the premises.</w:t>
      </w:r>
    </w:p>
    <w:p w14:paraId="161F5B4E" w14:textId="77777777" w:rsidR="005C307A" w:rsidRPr="00B62066" w:rsidRDefault="0051452A" w:rsidP="005C307A">
      <w:pPr>
        <w:pStyle w:val="BodyText"/>
        <w:rPr>
          <w:b/>
        </w:rPr>
      </w:pPr>
      <w:r>
        <w:rPr>
          <w:b/>
        </w:rPr>
        <w:t>5.11</w:t>
      </w:r>
      <w:r>
        <w:rPr>
          <w:b/>
        </w:rPr>
        <w:tab/>
      </w:r>
      <w:r w:rsidR="005C307A" w:rsidRPr="00B62066">
        <w:rPr>
          <w:b/>
        </w:rPr>
        <w:t>Crime prevention through environmental design</w:t>
      </w:r>
    </w:p>
    <w:p w14:paraId="4BFE7A74" w14:textId="77777777" w:rsidR="005C307A" w:rsidRDefault="008232D1" w:rsidP="005C307A">
      <w:pPr>
        <w:pStyle w:val="BodyText"/>
      </w:pPr>
      <w:r>
        <w:t>The 4 principles of assessing crime minimisation are:</w:t>
      </w:r>
    </w:p>
    <w:p w14:paraId="7CAC9A0A" w14:textId="77777777" w:rsidR="008232D1" w:rsidRDefault="008232D1" w:rsidP="008232D1">
      <w:pPr>
        <w:pStyle w:val="BodyText"/>
        <w:numPr>
          <w:ilvl w:val="0"/>
          <w:numId w:val="25"/>
        </w:numPr>
      </w:pPr>
      <w:r>
        <w:t>Surveillance</w:t>
      </w:r>
    </w:p>
    <w:p w14:paraId="049E730A" w14:textId="77777777" w:rsidR="008232D1" w:rsidRDefault="008232D1" w:rsidP="008232D1">
      <w:pPr>
        <w:pStyle w:val="BodyText"/>
        <w:numPr>
          <w:ilvl w:val="0"/>
          <w:numId w:val="25"/>
        </w:numPr>
      </w:pPr>
      <w:r>
        <w:t>Access control</w:t>
      </w:r>
    </w:p>
    <w:p w14:paraId="4DAFEE6B" w14:textId="77777777" w:rsidR="008232D1" w:rsidRDefault="008232D1" w:rsidP="008232D1">
      <w:pPr>
        <w:pStyle w:val="BodyText"/>
        <w:numPr>
          <w:ilvl w:val="0"/>
          <w:numId w:val="25"/>
        </w:numPr>
      </w:pPr>
      <w:r>
        <w:t>Territorial enforcement</w:t>
      </w:r>
    </w:p>
    <w:p w14:paraId="715A6A04" w14:textId="77777777" w:rsidR="008232D1" w:rsidRDefault="008232D1" w:rsidP="008232D1">
      <w:pPr>
        <w:pStyle w:val="BodyText"/>
        <w:numPr>
          <w:ilvl w:val="0"/>
          <w:numId w:val="25"/>
        </w:numPr>
      </w:pPr>
      <w:r>
        <w:t>Space management</w:t>
      </w:r>
    </w:p>
    <w:p w14:paraId="34A211EA" w14:textId="77777777" w:rsidR="008232D1" w:rsidRPr="005937D7" w:rsidRDefault="00F93285" w:rsidP="005C307A">
      <w:pPr>
        <w:pStyle w:val="BodyText"/>
      </w:pPr>
      <w:r w:rsidRPr="005937D7">
        <w:t>The following comments are made in relation to crime minimisation:</w:t>
      </w:r>
    </w:p>
    <w:p w14:paraId="48961E97" w14:textId="77777777" w:rsidR="008232D1" w:rsidRPr="005937D7" w:rsidRDefault="00F93285" w:rsidP="00F93285">
      <w:pPr>
        <w:pStyle w:val="BodyText"/>
        <w:numPr>
          <w:ilvl w:val="0"/>
          <w:numId w:val="32"/>
        </w:numPr>
        <w:rPr>
          <w:b/>
          <w:bCs/>
        </w:rPr>
      </w:pPr>
      <w:r w:rsidRPr="005937D7">
        <w:t>The location of the car park on and adjoining the street and in front of the building enables compliance with </w:t>
      </w:r>
      <w:r w:rsidRPr="005937D7">
        <w:rPr>
          <w:bCs/>
        </w:rPr>
        <w:t>CPTED</w:t>
      </w:r>
      <w:r w:rsidRPr="005937D7">
        <w:t> principles particularly from a passive surveillance (sight lines) and pedestrian vehicle conflict perspective.</w:t>
      </w:r>
    </w:p>
    <w:p w14:paraId="422065DD" w14:textId="77777777" w:rsidR="00F93285" w:rsidRPr="005937D7" w:rsidRDefault="00F93285" w:rsidP="00F93285">
      <w:pPr>
        <w:pStyle w:val="BodyText"/>
        <w:numPr>
          <w:ilvl w:val="0"/>
          <w:numId w:val="32"/>
        </w:numPr>
        <w:rPr>
          <w:bCs/>
        </w:rPr>
      </w:pPr>
      <w:r w:rsidRPr="005937D7">
        <w:rPr>
          <w:bCs/>
        </w:rPr>
        <w:t>The applicant is proposing external lighting of building perimeters, driveways, pedestrian paths and car parking areas</w:t>
      </w:r>
      <w:r w:rsidR="00BB0D54">
        <w:rPr>
          <w:bCs/>
        </w:rPr>
        <w:t xml:space="preserve"> (draft condition included)</w:t>
      </w:r>
      <w:r w:rsidRPr="005937D7">
        <w:rPr>
          <w:bCs/>
        </w:rPr>
        <w:t>.</w:t>
      </w:r>
    </w:p>
    <w:p w14:paraId="6FF0B569" w14:textId="77777777" w:rsidR="00F93285" w:rsidRPr="005937D7" w:rsidRDefault="00F93285" w:rsidP="00F93285">
      <w:pPr>
        <w:pStyle w:val="BodyText"/>
        <w:numPr>
          <w:ilvl w:val="0"/>
          <w:numId w:val="32"/>
        </w:numPr>
        <w:rPr>
          <w:bCs/>
        </w:rPr>
      </w:pPr>
      <w:r w:rsidRPr="005937D7">
        <w:rPr>
          <w:bCs/>
        </w:rPr>
        <w:t>Landscaping has been carefully considered to avoid potential entrapment areas and will be maintained.</w:t>
      </w:r>
    </w:p>
    <w:p w14:paraId="006C6D17" w14:textId="77777777" w:rsidR="00F93285" w:rsidRPr="005937D7" w:rsidRDefault="00F93285" w:rsidP="00F93285">
      <w:pPr>
        <w:pStyle w:val="BodyText"/>
        <w:numPr>
          <w:ilvl w:val="0"/>
          <w:numId w:val="32"/>
        </w:numPr>
        <w:rPr>
          <w:bCs/>
        </w:rPr>
      </w:pPr>
      <w:r w:rsidRPr="005937D7">
        <w:rPr>
          <w:bCs/>
        </w:rPr>
        <w:t>Pedestrian entries are clearly visible to visitors</w:t>
      </w:r>
      <w:r w:rsidR="00BB0D54">
        <w:rPr>
          <w:bCs/>
        </w:rPr>
        <w:t xml:space="preserve"> (draft condition included)</w:t>
      </w:r>
      <w:r w:rsidRPr="005937D7">
        <w:rPr>
          <w:bCs/>
        </w:rPr>
        <w:t>.</w:t>
      </w:r>
    </w:p>
    <w:p w14:paraId="5AA1CD37" w14:textId="77777777" w:rsidR="00F93285" w:rsidRPr="005937D7" w:rsidRDefault="00F93285" w:rsidP="00F93285">
      <w:pPr>
        <w:pStyle w:val="BodyText"/>
        <w:numPr>
          <w:ilvl w:val="0"/>
          <w:numId w:val="32"/>
        </w:numPr>
        <w:rPr>
          <w:bCs/>
        </w:rPr>
      </w:pPr>
      <w:r w:rsidRPr="005937D7">
        <w:rPr>
          <w:bCs/>
        </w:rPr>
        <w:t>Side boundaries will be fenced.</w:t>
      </w:r>
    </w:p>
    <w:p w14:paraId="0C4AAA3A" w14:textId="77777777" w:rsidR="00F93285" w:rsidRPr="005937D7" w:rsidRDefault="00F93285" w:rsidP="00F93285">
      <w:pPr>
        <w:pStyle w:val="BodyText"/>
        <w:numPr>
          <w:ilvl w:val="0"/>
          <w:numId w:val="32"/>
        </w:numPr>
        <w:rPr>
          <w:bCs/>
        </w:rPr>
      </w:pPr>
      <w:r w:rsidRPr="005937D7">
        <w:rPr>
          <w:bCs/>
        </w:rPr>
        <w:t>Communal areas are highly visible and private/public spaces will be made clear to visitors.</w:t>
      </w:r>
    </w:p>
    <w:p w14:paraId="27711996" w14:textId="77777777" w:rsidR="00F93285" w:rsidRPr="005937D7" w:rsidRDefault="00F93285" w:rsidP="00F93285">
      <w:pPr>
        <w:pStyle w:val="BodyText"/>
        <w:numPr>
          <w:ilvl w:val="0"/>
          <w:numId w:val="32"/>
        </w:numPr>
        <w:rPr>
          <w:bCs/>
        </w:rPr>
      </w:pPr>
      <w:r w:rsidRPr="005937D7">
        <w:rPr>
          <w:bCs/>
        </w:rPr>
        <w:t>The applicant has made a commitment to ensure that any damaged or vandalised features are repaired or removed.</w:t>
      </w:r>
    </w:p>
    <w:p w14:paraId="38EF50E8" w14:textId="77777777" w:rsidR="00F93285" w:rsidRPr="005937D7" w:rsidRDefault="00F93285" w:rsidP="00F93285">
      <w:pPr>
        <w:pStyle w:val="BodyText"/>
        <w:numPr>
          <w:ilvl w:val="0"/>
          <w:numId w:val="32"/>
        </w:numPr>
        <w:rPr>
          <w:bCs/>
        </w:rPr>
      </w:pPr>
      <w:r w:rsidRPr="005937D7">
        <w:rPr>
          <w:bCs/>
        </w:rPr>
        <w:lastRenderedPageBreak/>
        <w:t xml:space="preserve">The proposal will provide a community facility and will provide a sense of ownership for the local community. </w:t>
      </w:r>
    </w:p>
    <w:p w14:paraId="4FFF9DB6" w14:textId="77777777" w:rsidR="0051452A" w:rsidRDefault="008232D1" w:rsidP="005C307A">
      <w:pPr>
        <w:pStyle w:val="BodyText"/>
      </w:pPr>
      <w:r w:rsidRPr="005937D7">
        <w:t>We do not consider that approval of this development application will create or exacerbate crime risk.</w:t>
      </w:r>
      <w:r w:rsidR="00F93285" w:rsidRPr="005937D7">
        <w:t xml:space="preserve"> In addition, the </w:t>
      </w:r>
      <w:r w:rsidR="00BB0D54">
        <w:t xml:space="preserve">applicant’s draft </w:t>
      </w:r>
      <w:r w:rsidR="00F93285" w:rsidRPr="005937D7">
        <w:t xml:space="preserve">Plan of Management </w:t>
      </w:r>
      <w:r w:rsidR="00BB0D54">
        <w:t xml:space="preserve">already </w:t>
      </w:r>
      <w:r w:rsidR="00F93285" w:rsidRPr="005937D7">
        <w:t>contains protocols for the storage of personal information and items such as prescription pads, medication etc to ensure that it is not readily available to unauthorise</w:t>
      </w:r>
      <w:r w:rsidR="00E34F0D">
        <w:t>d</w:t>
      </w:r>
      <w:r w:rsidR="00F93285" w:rsidRPr="005937D7">
        <w:t xml:space="preserve"> users. </w:t>
      </w:r>
    </w:p>
    <w:p w14:paraId="1C522942" w14:textId="77777777" w:rsidR="00620684" w:rsidRPr="005937D7" w:rsidRDefault="00620684" w:rsidP="005C307A">
      <w:pPr>
        <w:pStyle w:val="BodyText"/>
      </w:pPr>
      <w:r>
        <w:t xml:space="preserve">The </w:t>
      </w:r>
      <w:r w:rsidR="003858C0">
        <w:t xml:space="preserve">proposal will have to meet all of the relevant requirements of the </w:t>
      </w:r>
      <w:r w:rsidR="003858C0" w:rsidRPr="00791273">
        <w:rPr>
          <w:rFonts w:ascii="Arial" w:hAnsi="Arial" w:cs="Arial"/>
        </w:rPr>
        <w:t>Disab</w:t>
      </w:r>
      <w:r w:rsidR="003858C0">
        <w:rPr>
          <w:rFonts w:ascii="Arial" w:hAnsi="Arial" w:cs="Arial"/>
        </w:rPr>
        <w:t xml:space="preserve">ility Discrimination Act 1992. This has been </w:t>
      </w:r>
      <w:r w:rsidR="00914B1D">
        <w:rPr>
          <w:rFonts w:ascii="Arial" w:hAnsi="Arial" w:cs="Arial"/>
        </w:rPr>
        <w:t>included</w:t>
      </w:r>
      <w:r w:rsidR="003858C0">
        <w:rPr>
          <w:rFonts w:ascii="Arial" w:hAnsi="Arial" w:cs="Arial"/>
        </w:rPr>
        <w:t xml:space="preserve"> as a draft condition.</w:t>
      </w:r>
    </w:p>
    <w:p w14:paraId="17059029" w14:textId="77777777" w:rsidR="005C307A" w:rsidRPr="00B62066" w:rsidRDefault="0051452A" w:rsidP="005C307A">
      <w:pPr>
        <w:pStyle w:val="BodyText"/>
        <w:rPr>
          <w:b/>
        </w:rPr>
      </w:pPr>
      <w:r>
        <w:rPr>
          <w:b/>
        </w:rPr>
        <w:t>5.12</w:t>
      </w:r>
      <w:r>
        <w:rPr>
          <w:b/>
        </w:rPr>
        <w:tab/>
      </w:r>
      <w:r w:rsidR="005C307A" w:rsidRPr="00B62066">
        <w:rPr>
          <w:b/>
        </w:rPr>
        <w:t>Disabled access</w:t>
      </w:r>
    </w:p>
    <w:p w14:paraId="4B783DCD" w14:textId="77777777" w:rsidR="00175D0F" w:rsidRDefault="00175D0F" w:rsidP="00175D0F">
      <w:pPr>
        <w:pStyle w:val="BodyText"/>
      </w:pPr>
      <w:r>
        <w:t xml:space="preserve">The proposed development highlights </w:t>
      </w:r>
      <w:r w:rsidR="000D4C3A">
        <w:t xml:space="preserve">access for all including </w:t>
      </w:r>
      <w:r>
        <w:t>disabled, mobility impaired and pram access through:</w:t>
      </w:r>
    </w:p>
    <w:p w14:paraId="5EE7B132" w14:textId="77777777" w:rsidR="00175D0F" w:rsidRDefault="00175D0F" w:rsidP="003860D4">
      <w:pPr>
        <w:pStyle w:val="BodyText"/>
        <w:numPr>
          <w:ilvl w:val="0"/>
          <w:numId w:val="14"/>
        </w:numPr>
      </w:pPr>
      <w:r>
        <w:t xml:space="preserve">Accessible ramp access being provided to the 3 inter-connected buildings. </w:t>
      </w:r>
    </w:p>
    <w:p w14:paraId="7985AF31" w14:textId="77777777" w:rsidR="00175D0F" w:rsidRDefault="00175D0F" w:rsidP="003860D4">
      <w:pPr>
        <w:pStyle w:val="BodyText"/>
        <w:numPr>
          <w:ilvl w:val="0"/>
          <w:numId w:val="14"/>
        </w:numPr>
      </w:pPr>
      <w:r>
        <w:t>2 accessible parking spaces located close to the building entry.</w:t>
      </w:r>
    </w:p>
    <w:p w14:paraId="189ED773" w14:textId="77777777" w:rsidR="00175D0F" w:rsidRDefault="00175D0F" w:rsidP="003860D4">
      <w:pPr>
        <w:pStyle w:val="BodyText"/>
        <w:numPr>
          <w:ilvl w:val="0"/>
          <w:numId w:val="14"/>
        </w:numPr>
      </w:pPr>
      <w:r>
        <w:t>Ambulance and patient vehicle drop-off area.</w:t>
      </w:r>
    </w:p>
    <w:p w14:paraId="20BC18F1" w14:textId="77777777" w:rsidR="00175D0F" w:rsidRDefault="00175D0F" w:rsidP="003860D4">
      <w:pPr>
        <w:pStyle w:val="BodyText"/>
        <w:numPr>
          <w:ilvl w:val="0"/>
          <w:numId w:val="14"/>
        </w:numPr>
      </w:pPr>
      <w:r>
        <w:t>Providing sealed road and pavement access to the site where none currently exists.</w:t>
      </w:r>
    </w:p>
    <w:p w14:paraId="6B1597EF" w14:textId="77777777" w:rsidR="005937D7" w:rsidRDefault="005937D7" w:rsidP="003860D4">
      <w:pPr>
        <w:pStyle w:val="BodyText"/>
        <w:numPr>
          <w:ilvl w:val="0"/>
          <w:numId w:val="14"/>
        </w:numPr>
      </w:pPr>
      <w:r>
        <w:t>Accessible toilets will be provided in each of the 3 buildings.</w:t>
      </w:r>
    </w:p>
    <w:p w14:paraId="3672A97B" w14:textId="77777777" w:rsidR="005C307A" w:rsidRPr="00B62066" w:rsidRDefault="0051452A" w:rsidP="005C307A">
      <w:pPr>
        <w:pStyle w:val="BodyText"/>
        <w:rPr>
          <w:b/>
        </w:rPr>
      </w:pPr>
      <w:r>
        <w:rPr>
          <w:b/>
        </w:rPr>
        <w:t>5.13</w:t>
      </w:r>
      <w:r>
        <w:rPr>
          <w:b/>
        </w:rPr>
        <w:tab/>
      </w:r>
      <w:r w:rsidR="005C307A" w:rsidRPr="00B62066">
        <w:rPr>
          <w:b/>
        </w:rPr>
        <w:t>Landscaping &amp; tree retention</w:t>
      </w:r>
    </w:p>
    <w:p w14:paraId="67DC9EAF" w14:textId="77777777" w:rsidR="000D4C3A" w:rsidRDefault="000D4C3A" w:rsidP="000D4C3A">
      <w:pPr>
        <w:pStyle w:val="BodyText"/>
      </w:pPr>
      <w:r>
        <w:t>There is only one significant tree on the site, that being a Black Box Tree located in the centre of the site and will be retained and protected.</w:t>
      </w:r>
      <w:r w:rsidR="003858C0">
        <w:t xml:space="preserve"> This is included as a ‘prior to construction certificate’ draft condition of consent.</w:t>
      </w:r>
    </w:p>
    <w:p w14:paraId="15C098F6" w14:textId="77777777" w:rsidR="000D4C3A" w:rsidRDefault="000D4C3A" w:rsidP="000D4C3A">
      <w:pPr>
        <w:pStyle w:val="BodyText"/>
      </w:pPr>
      <w:r>
        <w:t xml:space="preserve">The site will </w:t>
      </w:r>
      <w:r w:rsidR="003858C0">
        <w:t xml:space="preserve">also </w:t>
      </w:r>
      <w:r>
        <w:t>be landscaped with distinct Local Wilcannia traditional artwork and floodplain and river bed theme utilising local materials and 21 species of endemic and native plants. The landscaping will aim to provide interactive engagement opportunities for visitors, as well as rest and gathering spaces located close to the banks of the Darling River.</w:t>
      </w:r>
    </w:p>
    <w:p w14:paraId="18B8D2BC" w14:textId="77777777" w:rsidR="003858C0" w:rsidRDefault="003858C0" w:rsidP="000D4C3A">
      <w:pPr>
        <w:pStyle w:val="BodyText"/>
      </w:pPr>
      <w:r>
        <w:t>A draft condition requiring full compliance with the Landscape Plan prior to the issuing of any occupation certificate is included in the draft consent.</w:t>
      </w:r>
    </w:p>
    <w:p w14:paraId="05794713" w14:textId="77777777" w:rsidR="005C307A" w:rsidRPr="00B62066" w:rsidRDefault="0051452A" w:rsidP="005C307A">
      <w:pPr>
        <w:pStyle w:val="BodyText"/>
        <w:rPr>
          <w:b/>
        </w:rPr>
      </w:pPr>
      <w:r>
        <w:rPr>
          <w:b/>
        </w:rPr>
        <w:t>5.14</w:t>
      </w:r>
      <w:r>
        <w:rPr>
          <w:b/>
        </w:rPr>
        <w:tab/>
      </w:r>
      <w:r w:rsidR="00B62066" w:rsidRPr="00B62066">
        <w:rPr>
          <w:b/>
        </w:rPr>
        <w:t>Contamination</w:t>
      </w:r>
    </w:p>
    <w:p w14:paraId="18A8500A" w14:textId="77777777" w:rsidR="00B62066" w:rsidRPr="00AA604B" w:rsidRDefault="00B62066" w:rsidP="005C307A">
      <w:pPr>
        <w:pStyle w:val="BodyText"/>
      </w:pPr>
      <w:r w:rsidRPr="00AA604B">
        <w:t xml:space="preserve">The applicant submitted </w:t>
      </w:r>
      <w:r w:rsidR="00A924BC" w:rsidRPr="00AA604B">
        <w:t>a preliminary site contamination assessment. Its recommendations will form part of the recommended consent conditions.</w:t>
      </w:r>
    </w:p>
    <w:p w14:paraId="0C134296" w14:textId="77777777" w:rsidR="00A924BC" w:rsidRPr="00AA604B" w:rsidRDefault="00A924BC" w:rsidP="005C307A">
      <w:pPr>
        <w:pStyle w:val="BodyText"/>
      </w:pPr>
      <w:r w:rsidRPr="00AA604B">
        <w:t>Concluding, the report makes the following recommendations:</w:t>
      </w:r>
    </w:p>
    <w:p w14:paraId="59EE3BBF" w14:textId="77777777" w:rsidR="00A924BC" w:rsidRPr="00AA604B" w:rsidRDefault="00BD405B" w:rsidP="003860D4">
      <w:pPr>
        <w:pStyle w:val="BodyText"/>
        <w:numPr>
          <w:ilvl w:val="0"/>
          <w:numId w:val="15"/>
        </w:numPr>
      </w:pPr>
      <w:r w:rsidRPr="00AA604B">
        <w:rPr>
          <w:i/>
        </w:rPr>
        <w:t>‘</w:t>
      </w:r>
      <w:r w:rsidR="00A924BC" w:rsidRPr="00AA604B">
        <w:rPr>
          <w:i/>
        </w:rPr>
        <w:t>Based on the findings of the desktop review and site investigation, it can be stated with a reasonable level of confidence that the subject site is suitable for the proposed re-development</w:t>
      </w:r>
      <w:r w:rsidRPr="00AA604B">
        <w:rPr>
          <w:i/>
        </w:rPr>
        <w:t xml:space="preserve"> and land use.</w:t>
      </w:r>
    </w:p>
    <w:p w14:paraId="237704A0" w14:textId="77777777" w:rsidR="00BD405B" w:rsidRPr="00AA604B" w:rsidRDefault="00BD405B" w:rsidP="003860D4">
      <w:pPr>
        <w:pStyle w:val="BodyText"/>
        <w:numPr>
          <w:ilvl w:val="0"/>
          <w:numId w:val="15"/>
        </w:numPr>
      </w:pPr>
      <w:r w:rsidRPr="00AA604B">
        <w:rPr>
          <w:i/>
        </w:rPr>
        <w:t>It is recommended that the stockpiles of fill material as well as demolition waste present at the subject site be removed and appropriately disposed, prior to the commencement of any earthworks or construction.</w:t>
      </w:r>
    </w:p>
    <w:p w14:paraId="27F939BB" w14:textId="77777777" w:rsidR="00BD405B" w:rsidRPr="00D602C7" w:rsidRDefault="00BD405B" w:rsidP="003860D4">
      <w:pPr>
        <w:pStyle w:val="BodyText"/>
        <w:numPr>
          <w:ilvl w:val="0"/>
          <w:numId w:val="15"/>
        </w:numPr>
      </w:pPr>
      <w:r w:rsidRPr="00AA604B">
        <w:rPr>
          <w:i/>
        </w:rPr>
        <w:t>It is recommended that any material excavated from the drainage channel or its banks be appropriately classified in terms of the Excavated Natural Materials Order (NSW EPA, 2014) prior to being used on-site or removed off-site.’</w:t>
      </w:r>
    </w:p>
    <w:p w14:paraId="1F2878FA" w14:textId="77777777" w:rsidR="00D602C7" w:rsidRDefault="00D602C7" w:rsidP="00D602C7">
      <w:pPr>
        <w:pStyle w:val="BodyText"/>
      </w:pPr>
      <w:r>
        <w:t xml:space="preserve">It is also recommended that </w:t>
      </w:r>
      <w:r w:rsidR="00736A43">
        <w:t xml:space="preserve">in the event of any unexpected contaminants being found, remediation works will need to be undertaken and </w:t>
      </w:r>
      <w:r>
        <w:t xml:space="preserve">a qualified geoscientist </w:t>
      </w:r>
      <w:r w:rsidR="00736A43">
        <w:t xml:space="preserve">must </w:t>
      </w:r>
      <w:r>
        <w:t xml:space="preserve">then validate the site to be </w:t>
      </w:r>
      <w:r>
        <w:lastRenderedPageBreak/>
        <w:t xml:space="preserve">suitable for the proposed health services facility to the </w:t>
      </w:r>
      <w:r w:rsidRPr="00D602C7">
        <w:t>National Environment Protection (Assessment of Site Contamination) Measure </w:t>
      </w:r>
      <w:r>
        <w:t xml:space="preserve">2013 </w:t>
      </w:r>
      <w:r w:rsidR="00736A43">
        <w:t>G</w:t>
      </w:r>
      <w:r>
        <w:t>uidelines.</w:t>
      </w:r>
    </w:p>
    <w:p w14:paraId="6EB5D194" w14:textId="77777777" w:rsidR="00D602C7" w:rsidRDefault="00D602C7" w:rsidP="00D602C7">
      <w:pPr>
        <w:pStyle w:val="BodyText"/>
      </w:pPr>
      <w:r>
        <w:t>This is included as a draft condition</w:t>
      </w:r>
      <w:r w:rsidR="00736A43">
        <w:t xml:space="preserve"> in the recommended development consent</w:t>
      </w:r>
      <w:r>
        <w:t>.</w:t>
      </w:r>
    </w:p>
    <w:p w14:paraId="503614E6" w14:textId="77777777" w:rsidR="005C307A" w:rsidRPr="00D813C2" w:rsidRDefault="00BC7E20" w:rsidP="005C307A">
      <w:pPr>
        <w:pStyle w:val="BodyText"/>
        <w:rPr>
          <w:b/>
        </w:rPr>
      </w:pPr>
      <w:r>
        <w:rPr>
          <w:b/>
        </w:rPr>
        <w:t>5.15</w:t>
      </w:r>
      <w:r>
        <w:rPr>
          <w:b/>
        </w:rPr>
        <w:tab/>
      </w:r>
      <w:r w:rsidR="00D813C2" w:rsidRPr="00D813C2">
        <w:rPr>
          <w:b/>
        </w:rPr>
        <w:t>Visual impacts</w:t>
      </w:r>
    </w:p>
    <w:p w14:paraId="45CC9864" w14:textId="77777777" w:rsidR="00D813C2" w:rsidRDefault="00D813C2" w:rsidP="005C307A">
      <w:pPr>
        <w:pStyle w:val="BodyText"/>
      </w:pPr>
      <w:r w:rsidRPr="00D813C2">
        <w:t xml:space="preserve">The landscape and visual amenity of the </w:t>
      </w:r>
      <w:r>
        <w:t>site</w:t>
      </w:r>
      <w:r w:rsidRPr="00D813C2">
        <w:t xml:space="preserve"> is characterised by the </w:t>
      </w:r>
      <w:r w:rsidR="00803A25">
        <w:t xml:space="preserve">presence of the hospital and nearby dwelling houses, </w:t>
      </w:r>
      <w:r w:rsidRPr="00D813C2">
        <w:t>with a corridor of riparian vegetation following the river course</w:t>
      </w:r>
      <w:r w:rsidR="00803A25">
        <w:t xml:space="preserve"> and the Darling River itself</w:t>
      </w:r>
      <w:r w:rsidRPr="00D813C2">
        <w:t xml:space="preserve">. </w:t>
      </w:r>
    </w:p>
    <w:p w14:paraId="54FF1030" w14:textId="77777777" w:rsidR="00803A25" w:rsidRPr="00803A25" w:rsidRDefault="00803A25" w:rsidP="00803A25">
      <w:pPr>
        <w:pStyle w:val="BodyText"/>
      </w:pPr>
      <w:r w:rsidRPr="00803A25">
        <w:t xml:space="preserve">The proposal will be a change in the character of the site, </w:t>
      </w:r>
      <w:r>
        <w:t xml:space="preserve">but considered to be </w:t>
      </w:r>
      <w:r w:rsidRPr="00803A25">
        <w:t>positive change.</w:t>
      </w:r>
      <w:r w:rsidR="00E34F0D">
        <w:t xml:space="preserve"> There will be minimal change to the natural landscape and landform.</w:t>
      </w:r>
    </w:p>
    <w:p w14:paraId="581CF5CD" w14:textId="77777777" w:rsidR="00803A25" w:rsidRPr="00AA604B" w:rsidRDefault="00E34F0D" w:rsidP="005C307A">
      <w:pPr>
        <w:pStyle w:val="BodyText"/>
      </w:pPr>
      <w:r w:rsidRPr="00AA604B">
        <w:t xml:space="preserve">In terms of overshadowing, this is not considered to be a concern. The buildings will be located to the south </w:t>
      </w:r>
      <w:r w:rsidR="00AA604B">
        <w:t xml:space="preserve">and well east </w:t>
      </w:r>
      <w:r w:rsidRPr="00AA604B">
        <w:t>of any nearby residential properties. Any additional overshadowing at critical times of the day (9.00am – 3.00pm) and year (Winter Solstice) will fall largely across the site itself.</w:t>
      </w:r>
    </w:p>
    <w:p w14:paraId="6A0E96AE" w14:textId="77777777" w:rsidR="00E34F0D" w:rsidRPr="009B5215" w:rsidRDefault="00E34F0D" w:rsidP="005C307A">
      <w:pPr>
        <w:pStyle w:val="BodyText"/>
        <w:rPr>
          <w:color w:val="FF0000"/>
        </w:rPr>
      </w:pPr>
      <w:r w:rsidRPr="009B5215">
        <w:rPr>
          <w:color w:val="000000"/>
          <w:shd w:val="clear" w:color="auto" w:fill="FFFFFF"/>
        </w:rPr>
        <w:t>The bulk, scale, design and siting of the proposed development is considered appropriate given its context and the surrounding development.</w:t>
      </w:r>
    </w:p>
    <w:p w14:paraId="4CB78FEA" w14:textId="77777777" w:rsidR="005C307A" w:rsidRDefault="005C307A" w:rsidP="005C307A">
      <w:pPr>
        <w:pStyle w:val="BodyText"/>
      </w:pPr>
    </w:p>
    <w:p w14:paraId="3918E3C4" w14:textId="77777777" w:rsidR="005C307A" w:rsidRPr="00BF1555" w:rsidRDefault="005C307A" w:rsidP="00BF1555">
      <w:pPr>
        <w:pStyle w:val="Heading1Numbered"/>
        <w:numPr>
          <w:ilvl w:val="0"/>
          <w:numId w:val="33"/>
        </w:numPr>
      </w:pPr>
      <w:r w:rsidRPr="00BF1555">
        <w:t>CONCLUSION</w:t>
      </w:r>
      <w:r w:rsidR="00512AF3" w:rsidRPr="00BF1555">
        <w:t xml:space="preserve"> AND RECOMMENDATION</w:t>
      </w:r>
    </w:p>
    <w:p w14:paraId="0AE6B54A" w14:textId="77777777" w:rsidR="005C307A" w:rsidRDefault="005C307A" w:rsidP="005C307A">
      <w:pPr>
        <w:pStyle w:val="BodyText"/>
      </w:pPr>
      <w:r w:rsidRPr="005C307A">
        <w:t>The proposal seeks approval for the construction of a single storey (but elevated over an undercroft area), health services facility, split into 3 separate buildings connected by 2 covered walkways</w:t>
      </w:r>
      <w:r w:rsidR="00B55751">
        <w:t xml:space="preserve"> at Bonney Street, Wilcannia</w:t>
      </w:r>
      <w:r w:rsidRPr="005C307A">
        <w:t>. The development also comprises civil works to provide car parking, road works to provide access/parking and landscaping throughout the site.</w:t>
      </w:r>
    </w:p>
    <w:p w14:paraId="4FC59E9D" w14:textId="77777777" w:rsidR="00B55751" w:rsidRDefault="00B55751" w:rsidP="005C307A">
      <w:pPr>
        <w:pStyle w:val="BodyText"/>
      </w:pPr>
      <w:r>
        <w:t>We have reviewed the documentation submitted by the applicant</w:t>
      </w:r>
      <w:r w:rsidR="00111AEB">
        <w:t xml:space="preserve"> and</w:t>
      </w:r>
      <w:r>
        <w:t xml:space="preserve"> taken on advice from the Western Regional Planning Panel</w:t>
      </w:r>
      <w:r w:rsidR="002576E4" w:rsidRPr="00111AEB">
        <w:t>.</w:t>
      </w:r>
    </w:p>
    <w:p w14:paraId="6B62D8DB" w14:textId="77777777" w:rsidR="00B55751" w:rsidRDefault="00B55751" w:rsidP="005C307A">
      <w:pPr>
        <w:pStyle w:val="BodyText"/>
      </w:pPr>
      <w:r>
        <w:t xml:space="preserve">We are of the view that the recommended conditions and implementation of measures detailed in the Aboriginal Due Diligence Assessment, </w:t>
      </w:r>
      <w:r w:rsidR="00CE3B63">
        <w:t xml:space="preserve">Plan of Management, </w:t>
      </w:r>
      <w:r w:rsidR="00111AEB">
        <w:t xml:space="preserve">Arborist Report, </w:t>
      </w:r>
      <w:r>
        <w:t>Flood Study, Flora and Fauna Impact Assessment, Bushfire Assessment Report and Contamination Report will adequately mitigate any potential environmental impacts of the proposal.</w:t>
      </w:r>
      <w:r w:rsidR="00943285">
        <w:t xml:space="preserve"> We are also of the view that the amended plan addresses issues previously raised in the early assessment of the proposal.</w:t>
      </w:r>
    </w:p>
    <w:p w14:paraId="4A263202" w14:textId="77777777" w:rsidR="00B55751" w:rsidRDefault="00B55751" w:rsidP="005C307A">
      <w:pPr>
        <w:pStyle w:val="BodyText"/>
      </w:pPr>
      <w:r>
        <w:t xml:space="preserve">On balance we consider the site to be suitable for the proposed development and that the proposal </w:t>
      </w:r>
      <w:r w:rsidR="00736A43">
        <w:t>in its amended form will be</w:t>
      </w:r>
      <w:r>
        <w:t xml:space="preserve"> in the public interest given the significant social and </w:t>
      </w:r>
      <w:r w:rsidR="00512AF3">
        <w:t>health</w:t>
      </w:r>
      <w:r>
        <w:t xml:space="preserve"> benefits associated with the health services facility, in particular for the Aboriginal community of Wilcannia and its surrounds.</w:t>
      </w:r>
    </w:p>
    <w:p w14:paraId="365958A9" w14:textId="77777777" w:rsidR="00B55751" w:rsidRPr="005C307A" w:rsidRDefault="00B55751" w:rsidP="005C307A">
      <w:pPr>
        <w:pStyle w:val="BodyText"/>
      </w:pPr>
      <w:r>
        <w:t>Accordingly, we recommend that this development application be approved, subject to conditions</w:t>
      </w:r>
      <w:r w:rsidR="00736A43">
        <w:t xml:space="preserve"> at Attachment 5</w:t>
      </w:r>
      <w:r>
        <w:t>.</w:t>
      </w:r>
    </w:p>
    <w:p w14:paraId="1CAB0E62" w14:textId="77777777" w:rsidR="005C307A" w:rsidRDefault="005C307A" w:rsidP="005C307A">
      <w:pPr>
        <w:pStyle w:val="BodyText"/>
      </w:pPr>
    </w:p>
    <w:p w14:paraId="695387E9" w14:textId="77777777" w:rsidR="005C307A" w:rsidRDefault="005C307A" w:rsidP="005C307A">
      <w:pPr>
        <w:pStyle w:val="BodyText"/>
      </w:pPr>
    </w:p>
    <w:p w14:paraId="4491EC55" w14:textId="77777777" w:rsidR="005C307A" w:rsidRDefault="005C307A" w:rsidP="005C307A">
      <w:pPr>
        <w:pStyle w:val="BodyText"/>
      </w:pPr>
    </w:p>
    <w:p w14:paraId="2D2447EE" w14:textId="77777777" w:rsidR="005C307A" w:rsidRDefault="005C307A" w:rsidP="005C307A">
      <w:pPr>
        <w:pStyle w:val="BodyText"/>
      </w:pPr>
    </w:p>
    <w:p w14:paraId="63E84123" w14:textId="77777777" w:rsidR="005C307A" w:rsidRDefault="005C307A" w:rsidP="005C307A">
      <w:pPr>
        <w:pStyle w:val="BodyText"/>
      </w:pPr>
    </w:p>
    <w:p w14:paraId="6017C716" w14:textId="77777777" w:rsidR="00111AEB" w:rsidRDefault="00111AEB" w:rsidP="005C307A">
      <w:pPr>
        <w:pStyle w:val="BodyText"/>
      </w:pPr>
    </w:p>
    <w:p w14:paraId="0B3D7C00" w14:textId="77777777" w:rsidR="00111AEB" w:rsidRDefault="00111AEB" w:rsidP="005C307A">
      <w:pPr>
        <w:pStyle w:val="BodyText"/>
      </w:pPr>
    </w:p>
    <w:p w14:paraId="50CAB9C8" w14:textId="77777777" w:rsidR="00111AEB" w:rsidRDefault="00111AEB" w:rsidP="005C307A">
      <w:pPr>
        <w:pStyle w:val="BodyText"/>
      </w:pPr>
    </w:p>
    <w:p w14:paraId="0C4606D3" w14:textId="77777777" w:rsidR="00111AEB" w:rsidRDefault="00111AEB" w:rsidP="005C307A">
      <w:pPr>
        <w:pStyle w:val="BodyText"/>
      </w:pPr>
    </w:p>
    <w:p w14:paraId="758085F8" w14:textId="77777777" w:rsidR="005C307A" w:rsidRDefault="002C7507" w:rsidP="005C307A">
      <w:pPr>
        <w:pStyle w:val="BodyText"/>
      </w:pPr>
      <w:bookmarkStart w:id="5" w:name="_Hlk105590420"/>
      <w:r>
        <w:t>Attachment</w:t>
      </w:r>
      <w:r w:rsidR="005C307A">
        <w:t xml:space="preserve"> </w:t>
      </w:r>
      <w:r>
        <w:t>1</w:t>
      </w:r>
      <w:r w:rsidR="005C307A">
        <w:t xml:space="preserve"> – </w:t>
      </w:r>
      <w:r>
        <w:t>Pre-lodgement notes</w:t>
      </w:r>
    </w:p>
    <w:p w14:paraId="5EA07992" w14:textId="77777777" w:rsidR="005C307A" w:rsidRDefault="002C7507" w:rsidP="005C307A">
      <w:pPr>
        <w:pStyle w:val="BodyText"/>
      </w:pPr>
      <w:r>
        <w:t>Attachment</w:t>
      </w:r>
      <w:r w:rsidR="005C307A">
        <w:t xml:space="preserve"> </w:t>
      </w:r>
      <w:r>
        <w:t>2</w:t>
      </w:r>
      <w:r w:rsidR="005C307A">
        <w:t xml:space="preserve"> </w:t>
      </w:r>
      <w:r>
        <w:t>–</w:t>
      </w:r>
      <w:r w:rsidR="005C307A">
        <w:t xml:space="preserve"> </w:t>
      </w:r>
      <w:r>
        <w:t>Record of Briefing Western Regional Planning Panel 15 February, 2022</w:t>
      </w:r>
    </w:p>
    <w:p w14:paraId="4D64C741" w14:textId="77777777" w:rsidR="005C307A" w:rsidRDefault="002C7507" w:rsidP="005C307A">
      <w:pPr>
        <w:pStyle w:val="BodyText"/>
      </w:pPr>
      <w:r>
        <w:t>Attachment</w:t>
      </w:r>
      <w:r w:rsidR="005C307A">
        <w:t xml:space="preserve"> </w:t>
      </w:r>
      <w:r>
        <w:t>3</w:t>
      </w:r>
      <w:r w:rsidR="005C307A">
        <w:t xml:space="preserve"> – </w:t>
      </w:r>
      <w:r>
        <w:t>Record of Briefing Western Regional Planning Panel 17 May, 2022</w:t>
      </w:r>
    </w:p>
    <w:p w14:paraId="2E3CF410" w14:textId="77777777" w:rsidR="005C307A" w:rsidRDefault="002C7507" w:rsidP="005C307A">
      <w:pPr>
        <w:pStyle w:val="BodyText"/>
      </w:pPr>
      <w:r>
        <w:t>Attachment</w:t>
      </w:r>
      <w:r w:rsidR="005C307A">
        <w:t xml:space="preserve"> </w:t>
      </w:r>
      <w:r>
        <w:t>4 – Copy of plans</w:t>
      </w:r>
      <w:bookmarkEnd w:id="5"/>
    </w:p>
    <w:p w14:paraId="736BCF6B" w14:textId="77777777" w:rsidR="00AB7910" w:rsidRDefault="00AB7910" w:rsidP="005C307A">
      <w:pPr>
        <w:pStyle w:val="BodyText"/>
      </w:pPr>
      <w:r>
        <w:t>Attachment 5 – Draft conditions of consent</w:t>
      </w:r>
    </w:p>
    <w:p w14:paraId="0A013243" w14:textId="77777777" w:rsidR="005C307A" w:rsidRDefault="005C307A" w:rsidP="005C307A">
      <w:pPr>
        <w:pStyle w:val="BodyText"/>
      </w:pPr>
    </w:p>
    <w:p w14:paraId="6AF1E783" w14:textId="77777777" w:rsidR="005C307A" w:rsidRPr="00A00BA5" w:rsidRDefault="005C307A" w:rsidP="005C307A">
      <w:pPr>
        <w:pStyle w:val="BodyText"/>
      </w:pPr>
    </w:p>
    <w:sectPr w:rsidR="005C307A" w:rsidRPr="00A00BA5" w:rsidSect="00C35970">
      <w:headerReference w:type="default" r:id="rId21"/>
      <w:footerReference w:type="default" r:id="rId22"/>
      <w:headerReference w:type="first" r:id="rId23"/>
      <w:footerReference w:type="first" r:id="rId24"/>
      <w:pgSz w:w="11906" w:h="16838" w:code="9"/>
      <w:pgMar w:top="1134" w:right="1134" w:bottom="1134" w:left="1134" w:header="28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BE734" w14:textId="77777777" w:rsidR="000D70A1" w:rsidRDefault="000D70A1" w:rsidP="00381873">
      <w:r>
        <w:separator/>
      </w:r>
    </w:p>
  </w:endnote>
  <w:endnote w:type="continuationSeparator" w:id="0">
    <w:p w14:paraId="2DE4A242" w14:textId="77777777" w:rsidR="000D70A1" w:rsidRDefault="000D70A1" w:rsidP="00381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612290"/>
      <w:docPartObj>
        <w:docPartGallery w:val="Page Numbers (Bottom of Page)"/>
        <w:docPartUnique/>
      </w:docPartObj>
    </w:sdtPr>
    <w:sdtEndPr>
      <w:rPr>
        <w:rFonts w:ascii="Arial" w:hAnsi="Arial" w:cs="Arial"/>
        <w:sz w:val="18"/>
        <w:szCs w:val="18"/>
      </w:rPr>
    </w:sdtEndPr>
    <w:sdtContent>
      <w:sdt>
        <w:sdtPr>
          <w:rPr>
            <w:rFonts w:ascii="Arial" w:hAnsi="Arial" w:cs="Arial"/>
            <w:sz w:val="18"/>
            <w:szCs w:val="18"/>
          </w:rPr>
          <w:id w:val="333653283"/>
          <w:docPartObj>
            <w:docPartGallery w:val="Page Numbers (Top of Page)"/>
            <w:docPartUnique/>
          </w:docPartObj>
        </w:sdtPr>
        <w:sdtEndPr/>
        <w:sdtContent>
          <w:p w14:paraId="1B86E3F0" w14:textId="77777777" w:rsidR="00A8157A" w:rsidRDefault="00A8157A" w:rsidP="00E3199D">
            <w:pPr>
              <w:pStyle w:val="Footer"/>
              <w:tabs>
                <w:tab w:val="left" w:pos="1985"/>
                <w:tab w:val="right" w:pos="9638"/>
              </w:tabs>
              <w:jc w:val="left"/>
              <w:rPr>
                <w:rFonts w:ascii="Arial" w:hAnsi="Arial" w:cs="Arial"/>
                <w:sz w:val="18"/>
                <w:szCs w:val="18"/>
              </w:rPr>
            </w:pPr>
            <w:r>
              <w:rPr>
                <w:rFonts w:ascii="Arial" w:hAnsi="Arial" w:cs="Arial"/>
                <w:sz w:val="18"/>
                <w:szCs w:val="18"/>
              </w:rPr>
              <w:tab/>
            </w:r>
            <w:r>
              <w:rPr>
                <w:rFonts w:ascii="Arial" w:hAnsi="Arial" w:cs="Arial"/>
                <w:sz w:val="18"/>
                <w:szCs w:val="18"/>
              </w:rPr>
              <w:tab/>
              <w:t>Maari Ma health services facility Wilcannia</w:t>
            </w:r>
          </w:p>
          <w:p w14:paraId="20E33D2A" w14:textId="77777777" w:rsidR="00A8157A" w:rsidRPr="00C35970" w:rsidRDefault="00A8157A" w:rsidP="00E3199D">
            <w:pPr>
              <w:pStyle w:val="Footer"/>
              <w:tabs>
                <w:tab w:val="left" w:pos="1985"/>
                <w:tab w:val="right" w:pos="9638"/>
              </w:tabs>
              <w:jc w:val="left"/>
              <w:rPr>
                <w:rFonts w:ascii="Arial" w:hAnsi="Arial" w:cs="Arial"/>
                <w:sz w:val="18"/>
                <w:szCs w:val="18"/>
              </w:rPr>
            </w:pPr>
            <w:r>
              <w:rPr>
                <w:rFonts w:ascii="Arial" w:hAnsi="Arial" w:cs="Arial"/>
                <w:sz w:val="18"/>
                <w:szCs w:val="18"/>
              </w:rPr>
              <w:tab/>
            </w:r>
            <w:r>
              <w:rPr>
                <w:rFonts w:ascii="Arial" w:hAnsi="Arial" w:cs="Arial"/>
                <w:sz w:val="18"/>
                <w:szCs w:val="18"/>
              </w:rPr>
              <w:tab/>
            </w:r>
            <w:r w:rsidRPr="00C35970">
              <w:rPr>
                <w:rFonts w:ascii="Arial" w:hAnsi="Arial" w:cs="Arial"/>
                <w:sz w:val="18"/>
                <w:szCs w:val="18"/>
              </w:rPr>
              <w:t xml:space="preserve">Page </w:t>
            </w:r>
            <w:r w:rsidRPr="00C35970">
              <w:rPr>
                <w:rFonts w:ascii="Arial" w:hAnsi="Arial" w:cs="Arial"/>
                <w:sz w:val="18"/>
                <w:szCs w:val="18"/>
              </w:rPr>
              <w:fldChar w:fldCharType="begin"/>
            </w:r>
            <w:r w:rsidRPr="00C35970">
              <w:rPr>
                <w:rFonts w:ascii="Arial" w:hAnsi="Arial" w:cs="Arial"/>
                <w:sz w:val="18"/>
                <w:szCs w:val="18"/>
              </w:rPr>
              <w:instrText xml:space="preserve"> PAGE </w:instrText>
            </w:r>
            <w:r w:rsidRPr="00C35970">
              <w:rPr>
                <w:rFonts w:ascii="Arial" w:hAnsi="Arial" w:cs="Arial"/>
                <w:sz w:val="18"/>
                <w:szCs w:val="18"/>
              </w:rPr>
              <w:fldChar w:fldCharType="separate"/>
            </w:r>
            <w:r>
              <w:rPr>
                <w:rFonts w:ascii="Arial" w:hAnsi="Arial" w:cs="Arial"/>
              </w:rPr>
              <w:t>1</w:t>
            </w:r>
            <w:r w:rsidRPr="00C35970">
              <w:rPr>
                <w:rFonts w:ascii="Arial" w:hAnsi="Arial" w:cs="Arial"/>
                <w:sz w:val="18"/>
                <w:szCs w:val="18"/>
              </w:rPr>
              <w:fldChar w:fldCharType="end"/>
            </w:r>
            <w:r w:rsidRPr="00C35970">
              <w:rPr>
                <w:rFonts w:ascii="Arial" w:hAnsi="Arial" w:cs="Arial"/>
                <w:sz w:val="18"/>
                <w:szCs w:val="18"/>
              </w:rPr>
              <w:t xml:space="preserve"> of </w:t>
            </w:r>
            <w:r w:rsidRPr="00C35970">
              <w:rPr>
                <w:rFonts w:ascii="Arial" w:hAnsi="Arial" w:cs="Arial"/>
                <w:sz w:val="18"/>
                <w:szCs w:val="18"/>
              </w:rPr>
              <w:fldChar w:fldCharType="begin"/>
            </w:r>
            <w:r w:rsidRPr="00C35970">
              <w:rPr>
                <w:rFonts w:ascii="Arial" w:hAnsi="Arial" w:cs="Arial"/>
                <w:sz w:val="18"/>
                <w:szCs w:val="18"/>
              </w:rPr>
              <w:instrText xml:space="preserve"> NUMPAGES  </w:instrText>
            </w:r>
            <w:r w:rsidRPr="00C35970">
              <w:rPr>
                <w:rFonts w:ascii="Arial" w:hAnsi="Arial" w:cs="Arial"/>
                <w:sz w:val="18"/>
                <w:szCs w:val="18"/>
              </w:rPr>
              <w:fldChar w:fldCharType="separate"/>
            </w:r>
            <w:r>
              <w:rPr>
                <w:rFonts w:ascii="Arial" w:hAnsi="Arial" w:cs="Arial"/>
              </w:rPr>
              <w:t>2</w:t>
            </w:r>
            <w:r w:rsidRPr="00C35970">
              <w:rPr>
                <w:rFonts w:ascii="Arial" w:hAnsi="Arial" w:cs="Arial"/>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8582611"/>
      <w:docPartObj>
        <w:docPartGallery w:val="Page Numbers (Bottom of Page)"/>
        <w:docPartUnique/>
      </w:docPartObj>
    </w:sdtPr>
    <w:sdtEndPr>
      <w:rPr>
        <w:rFonts w:ascii="Arial" w:hAnsi="Arial" w:cs="Arial"/>
        <w:sz w:val="18"/>
        <w:szCs w:val="18"/>
      </w:rPr>
    </w:sdtEndPr>
    <w:sdtContent>
      <w:sdt>
        <w:sdtPr>
          <w:rPr>
            <w:rFonts w:ascii="Arial" w:hAnsi="Arial" w:cs="Arial"/>
            <w:sz w:val="18"/>
            <w:szCs w:val="18"/>
          </w:rPr>
          <w:id w:val="-1769616900"/>
          <w:docPartObj>
            <w:docPartGallery w:val="Page Numbers (Top of Page)"/>
            <w:docPartUnique/>
          </w:docPartObj>
        </w:sdtPr>
        <w:sdtEndPr/>
        <w:sdtContent>
          <w:p w14:paraId="5722F0E8" w14:textId="77777777" w:rsidR="00A8157A" w:rsidRDefault="00A8157A" w:rsidP="00E3199D">
            <w:pPr>
              <w:pStyle w:val="Footer"/>
              <w:tabs>
                <w:tab w:val="right" w:pos="9638"/>
              </w:tabs>
              <w:jc w:val="left"/>
              <w:rPr>
                <w:rFonts w:ascii="Arial" w:hAnsi="Arial" w:cs="Arial"/>
                <w:sz w:val="18"/>
                <w:szCs w:val="18"/>
              </w:rPr>
            </w:pPr>
            <w:r>
              <w:rPr>
                <w:rFonts w:ascii="Arial" w:hAnsi="Arial" w:cs="Arial"/>
                <w:sz w:val="18"/>
                <w:szCs w:val="18"/>
              </w:rPr>
              <w:tab/>
            </w:r>
          </w:p>
          <w:p w14:paraId="7280E20C" w14:textId="77777777" w:rsidR="00A8157A" w:rsidRPr="00C35970" w:rsidRDefault="00A8157A" w:rsidP="00E3199D">
            <w:pPr>
              <w:pStyle w:val="Footer"/>
              <w:tabs>
                <w:tab w:val="right" w:pos="9638"/>
              </w:tabs>
              <w:jc w:val="left"/>
              <w:rPr>
                <w:rFonts w:ascii="Arial" w:hAnsi="Arial" w:cs="Arial"/>
                <w:sz w:val="18"/>
                <w:szCs w:val="18"/>
              </w:rPr>
            </w:pPr>
            <w:r>
              <w:rPr>
                <w:rFonts w:ascii="Arial" w:hAnsi="Arial" w:cs="Arial"/>
                <w:sz w:val="18"/>
                <w:szCs w:val="18"/>
              </w:rPr>
              <w:tab/>
            </w:r>
            <w:r w:rsidRPr="00C35970">
              <w:rPr>
                <w:rFonts w:ascii="Arial" w:hAnsi="Arial" w:cs="Arial"/>
                <w:sz w:val="18"/>
                <w:szCs w:val="18"/>
              </w:rPr>
              <w:t xml:space="preserve">Page </w:t>
            </w:r>
            <w:r w:rsidRPr="00C35970">
              <w:rPr>
                <w:rFonts w:ascii="Arial" w:hAnsi="Arial" w:cs="Arial"/>
                <w:sz w:val="18"/>
                <w:szCs w:val="18"/>
              </w:rPr>
              <w:fldChar w:fldCharType="begin"/>
            </w:r>
            <w:r w:rsidRPr="00C35970">
              <w:rPr>
                <w:rFonts w:ascii="Arial" w:hAnsi="Arial" w:cs="Arial"/>
                <w:sz w:val="18"/>
                <w:szCs w:val="18"/>
              </w:rPr>
              <w:instrText xml:space="preserve"> PAGE </w:instrText>
            </w:r>
            <w:r w:rsidRPr="00C35970">
              <w:rPr>
                <w:rFonts w:ascii="Arial" w:hAnsi="Arial" w:cs="Arial"/>
                <w:sz w:val="18"/>
                <w:szCs w:val="18"/>
              </w:rPr>
              <w:fldChar w:fldCharType="separate"/>
            </w:r>
            <w:r w:rsidRPr="00C35970">
              <w:rPr>
                <w:rFonts w:ascii="Arial" w:hAnsi="Arial" w:cs="Arial"/>
                <w:noProof/>
                <w:sz w:val="18"/>
                <w:szCs w:val="18"/>
              </w:rPr>
              <w:t>2</w:t>
            </w:r>
            <w:r w:rsidRPr="00C35970">
              <w:rPr>
                <w:rFonts w:ascii="Arial" w:hAnsi="Arial" w:cs="Arial"/>
                <w:sz w:val="18"/>
                <w:szCs w:val="18"/>
              </w:rPr>
              <w:fldChar w:fldCharType="end"/>
            </w:r>
            <w:r w:rsidRPr="00C35970">
              <w:rPr>
                <w:rFonts w:ascii="Arial" w:hAnsi="Arial" w:cs="Arial"/>
                <w:sz w:val="18"/>
                <w:szCs w:val="18"/>
              </w:rPr>
              <w:t xml:space="preserve"> of </w:t>
            </w:r>
            <w:r w:rsidRPr="00C35970">
              <w:rPr>
                <w:rFonts w:ascii="Arial" w:hAnsi="Arial" w:cs="Arial"/>
                <w:sz w:val="18"/>
                <w:szCs w:val="18"/>
              </w:rPr>
              <w:fldChar w:fldCharType="begin"/>
            </w:r>
            <w:r w:rsidRPr="00C35970">
              <w:rPr>
                <w:rFonts w:ascii="Arial" w:hAnsi="Arial" w:cs="Arial"/>
                <w:sz w:val="18"/>
                <w:szCs w:val="18"/>
              </w:rPr>
              <w:instrText xml:space="preserve"> NUMPAGES  </w:instrText>
            </w:r>
            <w:r w:rsidRPr="00C35970">
              <w:rPr>
                <w:rFonts w:ascii="Arial" w:hAnsi="Arial" w:cs="Arial"/>
                <w:sz w:val="18"/>
                <w:szCs w:val="18"/>
              </w:rPr>
              <w:fldChar w:fldCharType="separate"/>
            </w:r>
            <w:r w:rsidRPr="00C35970">
              <w:rPr>
                <w:rFonts w:ascii="Arial" w:hAnsi="Arial" w:cs="Arial"/>
                <w:noProof/>
                <w:sz w:val="18"/>
                <w:szCs w:val="18"/>
              </w:rPr>
              <w:t>2</w:t>
            </w:r>
            <w:r w:rsidRPr="00C35970">
              <w:rPr>
                <w:rFonts w:ascii="Arial" w:hAnsi="Arial" w:cs="Arial"/>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3BA01" w14:textId="77777777" w:rsidR="000D70A1" w:rsidRDefault="000D70A1" w:rsidP="00381873">
      <w:r>
        <w:separator/>
      </w:r>
    </w:p>
  </w:footnote>
  <w:footnote w:type="continuationSeparator" w:id="0">
    <w:p w14:paraId="46123064" w14:textId="77777777" w:rsidR="000D70A1" w:rsidRDefault="000D70A1" w:rsidP="003818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1E185" w14:textId="77777777" w:rsidR="00A8157A" w:rsidRDefault="00A8157A" w:rsidP="00C50E5E">
    <w:pPr>
      <w:pStyle w:val="Header"/>
      <w:ind w:left="5760"/>
    </w:pPr>
    <w:r>
      <w:t>Environmental Assessment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C4B39" w14:textId="77777777" w:rsidR="00A8157A" w:rsidRDefault="00A8157A" w:rsidP="008736F9">
    <w:pPr>
      <w:pStyle w:val="Header"/>
    </w:pPr>
    <w:r>
      <w:rPr>
        <w:noProof/>
      </w:rPr>
      <w:drawing>
        <wp:inline distT="0" distB="0" distL="0" distR="0" wp14:anchorId="7891D023" wp14:editId="0CEAD72A">
          <wp:extent cx="900000" cy="118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T_MasterLogos_RGB_Portrait.jpg"/>
                  <pic:cNvPicPr/>
                </pic:nvPicPr>
                <pic:blipFill>
                  <a:blip r:embed="rId1">
                    <a:extLst>
                      <a:ext uri="{28A0092B-C50C-407E-A947-70E740481C1C}">
                        <a14:useLocalDpi xmlns:a14="http://schemas.microsoft.com/office/drawing/2010/main" val="0"/>
                      </a:ext>
                    </a:extLst>
                  </a:blip>
                  <a:stretch>
                    <a:fillRect/>
                  </a:stretch>
                </pic:blipFill>
                <pic:spPr>
                  <a:xfrm>
                    <a:off x="0" y="0"/>
                    <a:ext cx="900000" cy="11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030BF"/>
    <w:multiLevelType w:val="hybridMultilevel"/>
    <w:tmpl w:val="0270C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78764A"/>
    <w:multiLevelType w:val="hybridMultilevel"/>
    <w:tmpl w:val="8EE68CFC"/>
    <w:lvl w:ilvl="0" w:tplc="19621318">
      <w:start w:val="3"/>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BB325B"/>
    <w:multiLevelType w:val="hybridMultilevel"/>
    <w:tmpl w:val="38C446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B73B8B"/>
    <w:multiLevelType w:val="hybridMultilevel"/>
    <w:tmpl w:val="13343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A721FA"/>
    <w:multiLevelType w:val="hybridMultilevel"/>
    <w:tmpl w:val="7CD46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5B7577"/>
    <w:multiLevelType w:val="hybridMultilevel"/>
    <w:tmpl w:val="BDBEA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071D5A"/>
    <w:multiLevelType w:val="multilevel"/>
    <w:tmpl w:val="A31846C4"/>
    <w:styleLink w:val="ListBullets"/>
    <w:lvl w:ilvl="0">
      <w:start w:val="1"/>
      <w:numFmt w:val="bullet"/>
      <w:pStyle w:val="ListBullet"/>
      <w:lvlText w:val=""/>
      <w:lvlJc w:val="left"/>
      <w:pPr>
        <w:ind w:left="567" w:hanging="567"/>
      </w:pPr>
      <w:rPr>
        <w:rFonts w:ascii="Symbol" w:hAnsi="Symbol" w:hint="default"/>
      </w:rPr>
    </w:lvl>
    <w:lvl w:ilvl="1">
      <w:start w:val="1"/>
      <w:numFmt w:val="bullet"/>
      <w:pStyle w:val="ListBullet2"/>
      <w:lvlText w:val="o"/>
      <w:lvlJc w:val="left"/>
      <w:pPr>
        <w:ind w:left="1134" w:hanging="567"/>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E317EA4"/>
    <w:multiLevelType w:val="multilevel"/>
    <w:tmpl w:val="E90AB520"/>
    <w:numStyleLink w:val="Numbering"/>
  </w:abstractNum>
  <w:abstractNum w:abstractNumId="8" w15:restartNumberingAfterBreak="0">
    <w:nsid w:val="20336A60"/>
    <w:multiLevelType w:val="hybridMultilevel"/>
    <w:tmpl w:val="46AE0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BF121B"/>
    <w:multiLevelType w:val="multilevel"/>
    <w:tmpl w:val="A31846C4"/>
    <w:numStyleLink w:val="ListBullets"/>
  </w:abstractNum>
  <w:abstractNum w:abstractNumId="10" w15:restartNumberingAfterBreak="0">
    <w:nsid w:val="2DF427AE"/>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E831749"/>
    <w:multiLevelType w:val="multilevel"/>
    <w:tmpl w:val="958C89F0"/>
    <w:numStyleLink w:val="ListNumbering"/>
  </w:abstractNum>
  <w:abstractNum w:abstractNumId="12" w15:restartNumberingAfterBreak="0">
    <w:nsid w:val="380A03F9"/>
    <w:multiLevelType w:val="hybridMultilevel"/>
    <w:tmpl w:val="5EE85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050403"/>
    <w:multiLevelType w:val="hybridMultilevel"/>
    <w:tmpl w:val="EF923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97448B"/>
    <w:multiLevelType w:val="hybridMultilevel"/>
    <w:tmpl w:val="A692D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935E26"/>
    <w:multiLevelType w:val="hybridMultilevel"/>
    <w:tmpl w:val="2C368470"/>
    <w:lvl w:ilvl="0" w:tplc="19621318">
      <w:start w:val="3"/>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6F16EB"/>
    <w:multiLevelType w:val="multilevel"/>
    <w:tmpl w:val="E90AB520"/>
    <w:styleLink w:val="Numbering"/>
    <w:lvl w:ilvl="0">
      <w:start w:val="1"/>
      <w:numFmt w:val="decimal"/>
      <w:pStyle w:val="Heading1Numbered"/>
      <w:lvlText w:val="%1."/>
      <w:lvlJc w:val="left"/>
      <w:pPr>
        <w:ind w:left="709" w:hanging="709"/>
      </w:pPr>
      <w:rPr>
        <w:rFonts w:hint="default"/>
      </w:rPr>
    </w:lvl>
    <w:lvl w:ilvl="1">
      <w:start w:val="1"/>
      <w:numFmt w:val="decimal"/>
      <w:pStyle w:val="Heading2Numbered"/>
      <w:lvlText w:val="%1.%2"/>
      <w:lvlJc w:val="left"/>
      <w:pPr>
        <w:ind w:left="1702" w:hanging="709"/>
      </w:pPr>
      <w:rPr>
        <w:rFonts w:hint="default"/>
      </w:rPr>
    </w:lvl>
    <w:lvl w:ilvl="2">
      <w:start w:val="1"/>
      <w:numFmt w:val="decimal"/>
      <w:pStyle w:val="Heading3Numbered"/>
      <w:lvlText w:val="%1.%2.%3"/>
      <w:lvlJc w:val="left"/>
      <w:pPr>
        <w:ind w:left="709" w:hanging="709"/>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2FA1171"/>
    <w:multiLevelType w:val="hybridMultilevel"/>
    <w:tmpl w:val="BCBC2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6F719B"/>
    <w:multiLevelType w:val="hybridMultilevel"/>
    <w:tmpl w:val="3A147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641CB5"/>
    <w:multiLevelType w:val="hybridMultilevel"/>
    <w:tmpl w:val="A552D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AE741E"/>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5EB440D"/>
    <w:multiLevelType w:val="hybridMultilevel"/>
    <w:tmpl w:val="12A0D1C6"/>
    <w:lvl w:ilvl="0" w:tplc="0C09001B">
      <w:start w:val="1"/>
      <w:numFmt w:val="lowerRoman"/>
      <w:lvlText w:val="%1."/>
      <w:lvlJc w:val="right"/>
      <w:pPr>
        <w:ind w:left="1800" w:hanging="360"/>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22" w15:restartNumberingAfterBreak="0">
    <w:nsid w:val="6EC67AB6"/>
    <w:multiLevelType w:val="multilevel"/>
    <w:tmpl w:val="958C89F0"/>
    <w:styleLink w:val="ListNumbering"/>
    <w:lvl w:ilvl="0">
      <w:start w:val="1"/>
      <w:numFmt w:val="decimal"/>
      <w:pStyle w:val="ListNumber"/>
      <w:lvlText w:val="%1."/>
      <w:lvlJc w:val="left"/>
      <w:pPr>
        <w:ind w:left="567" w:hanging="567"/>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ind w:left="1276"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07B7178"/>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1C30EA0"/>
    <w:multiLevelType w:val="hybridMultilevel"/>
    <w:tmpl w:val="20826696"/>
    <w:lvl w:ilvl="0" w:tplc="19621318">
      <w:start w:val="3"/>
      <w:numFmt w:val="bullet"/>
      <w:lvlText w:val="-"/>
      <w:lvlJc w:val="left"/>
      <w:pPr>
        <w:ind w:left="1418" w:hanging="360"/>
      </w:pPr>
      <w:rPr>
        <w:rFonts w:ascii="Arial" w:eastAsiaTheme="minorEastAsia" w:hAnsi="Arial" w:cs="Arial" w:hint="default"/>
      </w:rPr>
    </w:lvl>
    <w:lvl w:ilvl="1" w:tplc="0C090003" w:tentative="1">
      <w:start w:val="1"/>
      <w:numFmt w:val="bullet"/>
      <w:lvlText w:val="o"/>
      <w:lvlJc w:val="left"/>
      <w:pPr>
        <w:ind w:left="2138" w:hanging="360"/>
      </w:pPr>
      <w:rPr>
        <w:rFonts w:ascii="Courier New" w:hAnsi="Courier New" w:cs="Courier New" w:hint="default"/>
      </w:rPr>
    </w:lvl>
    <w:lvl w:ilvl="2" w:tplc="0C090005" w:tentative="1">
      <w:start w:val="1"/>
      <w:numFmt w:val="bullet"/>
      <w:lvlText w:val=""/>
      <w:lvlJc w:val="left"/>
      <w:pPr>
        <w:ind w:left="2858" w:hanging="360"/>
      </w:pPr>
      <w:rPr>
        <w:rFonts w:ascii="Wingdings" w:hAnsi="Wingdings" w:hint="default"/>
      </w:rPr>
    </w:lvl>
    <w:lvl w:ilvl="3" w:tplc="0C090001" w:tentative="1">
      <w:start w:val="1"/>
      <w:numFmt w:val="bullet"/>
      <w:lvlText w:val=""/>
      <w:lvlJc w:val="left"/>
      <w:pPr>
        <w:ind w:left="3578" w:hanging="360"/>
      </w:pPr>
      <w:rPr>
        <w:rFonts w:ascii="Symbol" w:hAnsi="Symbol" w:hint="default"/>
      </w:rPr>
    </w:lvl>
    <w:lvl w:ilvl="4" w:tplc="0C090003" w:tentative="1">
      <w:start w:val="1"/>
      <w:numFmt w:val="bullet"/>
      <w:lvlText w:val="o"/>
      <w:lvlJc w:val="left"/>
      <w:pPr>
        <w:ind w:left="4298" w:hanging="360"/>
      </w:pPr>
      <w:rPr>
        <w:rFonts w:ascii="Courier New" w:hAnsi="Courier New" w:cs="Courier New" w:hint="default"/>
      </w:rPr>
    </w:lvl>
    <w:lvl w:ilvl="5" w:tplc="0C090005" w:tentative="1">
      <w:start w:val="1"/>
      <w:numFmt w:val="bullet"/>
      <w:lvlText w:val=""/>
      <w:lvlJc w:val="left"/>
      <w:pPr>
        <w:ind w:left="5018" w:hanging="360"/>
      </w:pPr>
      <w:rPr>
        <w:rFonts w:ascii="Wingdings" w:hAnsi="Wingdings" w:hint="default"/>
      </w:rPr>
    </w:lvl>
    <w:lvl w:ilvl="6" w:tplc="0C090001" w:tentative="1">
      <w:start w:val="1"/>
      <w:numFmt w:val="bullet"/>
      <w:lvlText w:val=""/>
      <w:lvlJc w:val="left"/>
      <w:pPr>
        <w:ind w:left="5738" w:hanging="360"/>
      </w:pPr>
      <w:rPr>
        <w:rFonts w:ascii="Symbol" w:hAnsi="Symbol" w:hint="default"/>
      </w:rPr>
    </w:lvl>
    <w:lvl w:ilvl="7" w:tplc="0C090003" w:tentative="1">
      <w:start w:val="1"/>
      <w:numFmt w:val="bullet"/>
      <w:lvlText w:val="o"/>
      <w:lvlJc w:val="left"/>
      <w:pPr>
        <w:ind w:left="6458" w:hanging="360"/>
      </w:pPr>
      <w:rPr>
        <w:rFonts w:ascii="Courier New" w:hAnsi="Courier New" w:cs="Courier New" w:hint="default"/>
      </w:rPr>
    </w:lvl>
    <w:lvl w:ilvl="8" w:tplc="0C090005" w:tentative="1">
      <w:start w:val="1"/>
      <w:numFmt w:val="bullet"/>
      <w:lvlText w:val=""/>
      <w:lvlJc w:val="left"/>
      <w:pPr>
        <w:ind w:left="7178" w:hanging="360"/>
      </w:pPr>
      <w:rPr>
        <w:rFonts w:ascii="Wingdings" w:hAnsi="Wingdings" w:hint="default"/>
      </w:rPr>
    </w:lvl>
  </w:abstractNum>
  <w:abstractNum w:abstractNumId="25" w15:restartNumberingAfterBreak="0">
    <w:nsid w:val="752613D0"/>
    <w:multiLevelType w:val="hybridMultilevel"/>
    <w:tmpl w:val="A68A9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9C771D"/>
    <w:multiLevelType w:val="multilevel"/>
    <w:tmpl w:val="B824F35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E99769C"/>
    <w:multiLevelType w:val="hybridMultilevel"/>
    <w:tmpl w:val="81D2D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C20E36"/>
    <w:multiLevelType w:val="hybridMultilevel"/>
    <w:tmpl w:val="DB001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9092386">
    <w:abstractNumId w:val="16"/>
  </w:num>
  <w:num w:numId="2" w16cid:durableId="618340977">
    <w:abstractNumId w:val="22"/>
  </w:num>
  <w:num w:numId="3" w16cid:durableId="1741901621">
    <w:abstractNumId w:val="10"/>
  </w:num>
  <w:num w:numId="4" w16cid:durableId="1074086819">
    <w:abstractNumId w:val="23"/>
  </w:num>
  <w:num w:numId="5" w16cid:durableId="1950233191">
    <w:abstractNumId w:val="20"/>
  </w:num>
  <w:num w:numId="6" w16cid:durableId="1913194540">
    <w:abstractNumId w:val="7"/>
  </w:num>
  <w:num w:numId="7" w16cid:durableId="1429543040">
    <w:abstractNumId w:val="6"/>
  </w:num>
  <w:num w:numId="8" w16cid:durableId="1189291111">
    <w:abstractNumId w:val="9"/>
  </w:num>
  <w:num w:numId="9" w16cid:durableId="383718683">
    <w:abstractNumId w:val="11"/>
  </w:num>
  <w:num w:numId="10" w16cid:durableId="527762767">
    <w:abstractNumId w:val="26"/>
  </w:num>
  <w:num w:numId="11" w16cid:durableId="194201372">
    <w:abstractNumId w:val="17"/>
  </w:num>
  <w:num w:numId="12" w16cid:durableId="1269578819">
    <w:abstractNumId w:val="4"/>
  </w:num>
  <w:num w:numId="13" w16cid:durableId="822280290">
    <w:abstractNumId w:val="27"/>
  </w:num>
  <w:num w:numId="14" w16cid:durableId="1874685045">
    <w:abstractNumId w:val="18"/>
  </w:num>
  <w:num w:numId="15" w16cid:durableId="715084082">
    <w:abstractNumId w:val="28"/>
  </w:num>
  <w:num w:numId="16" w16cid:durableId="315303505">
    <w:abstractNumId w:val="5"/>
  </w:num>
  <w:num w:numId="17" w16cid:durableId="73285471">
    <w:abstractNumId w:val="12"/>
  </w:num>
  <w:num w:numId="18" w16cid:durableId="1300919575">
    <w:abstractNumId w:val="25"/>
  </w:num>
  <w:num w:numId="19" w16cid:durableId="650213955">
    <w:abstractNumId w:val="3"/>
  </w:num>
  <w:num w:numId="20" w16cid:durableId="2073306714">
    <w:abstractNumId w:val="19"/>
  </w:num>
  <w:num w:numId="21" w16cid:durableId="1546988413">
    <w:abstractNumId w:val="13"/>
  </w:num>
  <w:num w:numId="22" w16cid:durableId="32508357">
    <w:abstractNumId w:val="8"/>
  </w:num>
  <w:num w:numId="23" w16cid:durableId="1838375275">
    <w:abstractNumId w:val="0"/>
  </w:num>
  <w:num w:numId="24" w16cid:durableId="1336495758">
    <w:abstractNumId w:val="14"/>
  </w:num>
  <w:num w:numId="25" w16cid:durableId="1439912803">
    <w:abstractNumId w:val="2"/>
  </w:num>
  <w:num w:numId="26" w16cid:durableId="1439832061">
    <w:abstractNumId w:val="24"/>
  </w:num>
  <w:num w:numId="27" w16cid:durableId="19084939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48014021">
    <w:abstractNumId w:val="21"/>
  </w:num>
  <w:num w:numId="29" w16cid:durableId="481043318">
    <w:abstractNumId w:val="1"/>
  </w:num>
  <w:num w:numId="30" w16cid:durableId="329018421">
    <w:abstractNumId w:val="7"/>
    <w:lvlOverride w:ilvl="0">
      <w:startOverride w:val="1"/>
    </w:lvlOverride>
    <w:lvlOverride w:ilvl="1">
      <w:startOverride w:val="1"/>
    </w:lvlOverride>
    <w:lvlOverride w:ilvl="2">
      <w:startOverride w:val="1"/>
    </w:lvlOverride>
    <w:lvlOverride w:ilvl="3">
      <w:startOverride w:val="1"/>
    </w:lvlOverride>
    <w:lvlOverride w:ilvl="4">
      <w:startOverride w:val="9"/>
    </w:lvlOverride>
  </w:num>
  <w:num w:numId="31" w16cid:durableId="21254162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
    </w:lvlOverride>
  </w:num>
  <w:num w:numId="32" w16cid:durableId="386028714">
    <w:abstractNumId w:val="15"/>
  </w:num>
  <w:num w:numId="33" w16cid:durableId="447894601">
    <w:abstractNumId w:val="7"/>
    <w:lvlOverride w:ilvl="0">
      <w:startOverride w:val="6"/>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efaultTabStop w:val="720"/>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astSelectedNamespace" w:val="http://schemas.macroview.com.au/ribbonsettings"/>
  </w:docVars>
  <w:rsids>
    <w:rsidRoot w:val="00C35970"/>
    <w:rsid w:val="000079A4"/>
    <w:rsid w:val="00007C11"/>
    <w:rsid w:val="00014249"/>
    <w:rsid w:val="000513B0"/>
    <w:rsid w:val="00066F1C"/>
    <w:rsid w:val="00077799"/>
    <w:rsid w:val="00092A34"/>
    <w:rsid w:val="00095C87"/>
    <w:rsid w:val="0009646F"/>
    <w:rsid w:val="00096AED"/>
    <w:rsid w:val="000A1A21"/>
    <w:rsid w:val="000A3DFB"/>
    <w:rsid w:val="000B7261"/>
    <w:rsid w:val="000C2C9F"/>
    <w:rsid w:val="000C6459"/>
    <w:rsid w:val="000D4C3A"/>
    <w:rsid w:val="000D70A1"/>
    <w:rsid w:val="000F1783"/>
    <w:rsid w:val="000F4BE6"/>
    <w:rsid w:val="0010444A"/>
    <w:rsid w:val="00107F57"/>
    <w:rsid w:val="00111AEB"/>
    <w:rsid w:val="0011420A"/>
    <w:rsid w:val="00120A8A"/>
    <w:rsid w:val="00140B27"/>
    <w:rsid w:val="00156FBF"/>
    <w:rsid w:val="0015796C"/>
    <w:rsid w:val="00161049"/>
    <w:rsid w:val="00175D0F"/>
    <w:rsid w:val="00182290"/>
    <w:rsid w:val="00190E06"/>
    <w:rsid w:val="001B001C"/>
    <w:rsid w:val="001E4FBF"/>
    <w:rsid w:val="001E63E5"/>
    <w:rsid w:val="001F1C24"/>
    <w:rsid w:val="001F4D81"/>
    <w:rsid w:val="00201E9B"/>
    <w:rsid w:val="00204821"/>
    <w:rsid w:val="0022774B"/>
    <w:rsid w:val="0024179E"/>
    <w:rsid w:val="002436FB"/>
    <w:rsid w:val="00243DE5"/>
    <w:rsid w:val="00244633"/>
    <w:rsid w:val="00244B75"/>
    <w:rsid w:val="00247E8D"/>
    <w:rsid w:val="00257670"/>
    <w:rsid w:val="002576E4"/>
    <w:rsid w:val="002650D5"/>
    <w:rsid w:val="0028186F"/>
    <w:rsid w:val="00282F3A"/>
    <w:rsid w:val="00284F5E"/>
    <w:rsid w:val="002A04AA"/>
    <w:rsid w:val="002B2D0C"/>
    <w:rsid w:val="002B7E5D"/>
    <w:rsid w:val="002C1FCC"/>
    <w:rsid w:val="002C7507"/>
    <w:rsid w:val="002D4E1C"/>
    <w:rsid w:val="002E75F7"/>
    <w:rsid w:val="0030403F"/>
    <w:rsid w:val="0031315D"/>
    <w:rsid w:val="00314879"/>
    <w:rsid w:val="0031543F"/>
    <w:rsid w:val="00317F09"/>
    <w:rsid w:val="003304C2"/>
    <w:rsid w:val="00342544"/>
    <w:rsid w:val="00342F83"/>
    <w:rsid w:val="003506E0"/>
    <w:rsid w:val="0038171A"/>
    <w:rsid w:val="00381873"/>
    <w:rsid w:val="003858C0"/>
    <w:rsid w:val="003860D4"/>
    <w:rsid w:val="00386993"/>
    <w:rsid w:val="00387C3F"/>
    <w:rsid w:val="003B5785"/>
    <w:rsid w:val="003C0A41"/>
    <w:rsid w:val="003C48F9"/>
    <w:rsid w:val="003E4ACC"/>
    <w:rsid w:val="003F1533"/>
    <w:rsid w:val="003F2EED"/>
    <w:rsid w:val="003F762F"/>
    <w:rsid w:val="0040243D"/>
    <w:rsid w:val="00404E37"/>
    <w:rsid w:val="0041186C"/>
    <w:rsid w:val="00412BD1"/>
    <w:rsid w:val="00437731"/>
    <w:rsid w:val="0045174C"/>
    <w:rsid w:val="0045200B"/>
    <w:rsid w:val="00456E46"/>
    <w:rsid w:val="00456E6F"/>
    <w:rsid w:val="004761E6"/>
    <w:rsid w:val="004C6BD7"/>
    <w:rsid w:val="004D7ED3"/>
    <w:rsid w:val="005032F1"/>
    <w:rsid w:val="00512AF3"/>
    <w:rsid w:val="0051452A"/>
    <w:rsid w:val="00554ECF"/>
    <w:rsid w:val="005641E6"/>
    <w:rsid w:val="00570B73"/>
    <w:rsid w:val="005736FD"/>
    <w:rsid w:val="0057522D"/>
    <w:rsid w:val="0058391A"/>
    <w:rsid w:val="005937D7"/>
    <w:rsid w:val="005B01D7"/>
    <w:rsid w:val="005C0019"/>
    <w:rsid w:val="005C0BF2"/>
    <w:rsid w:val="005C307A"/>
    <w:rsid w:val="005C54AF"/>
    <w:rsid w:val="005C7023"/>
    <w:rsid w:val="005D41AA"/>
    <w:rsid w:val="005E0360"/>
    <w:rsid w:val="005F311C"/>
    <w:rsid w:val="005F69F2"/>
    <w:rsid w:val="00620684"/>
    <w:rsid w:val="00625B11"/>
    <w:rsid w:val="00630E1A"/>
    <w:rsid w:val="00642168"/>
    <w:rsid w:val="00661A4F"/>
    <w:rsid w:val="006670C2"/>
    <w:rsid w:val="00671C6B"/>
    <w:rsid w:val="00675A8C"/>
    <w:rsid w:val="00681E8E"/>
    <w:rsid w:val="006915D7"/>
    <w:rsid w:val="0069230D"/>
    <w:rsid w:val="00695DB1"/>
    <w:rsid w:val="006B0284"/>
    <w:rsid w:val="006B2AFE"/>
    <w:rsid w:val="006D3FB5"/>
    <w:rsid w:val="006E3319"/>
    <w:rsid w:val="006F6D34"/>
    <w:rsid w:val="0071749E"/>
    <w:rsid w:val="0073306C"/>
    <w:rsid w:val="00736A43"/>
    <w:rsid w:val="00737764"/>
    <w:rsid w:val="007528D1"/>
    <w:rsid w:val="00753D1A"/>
    <w:rsid w:val="0076163D"/>
    <w:rsid w:val="0077601D"/>
    <w:rsid w:val="00792138"/>
    <w:rsid w:val="007A42D2"/>
    <w:rsid w:val="007A51A0"/>
    <w:rsid w:val="007A5E51"/>
    <w:rsid w:val="007A74D4"/>
    <w:rsid w:val="007B6351"/>
    <w:rsid w:val="007C04CE"/>
    <w:rsid w:val="007D2D35"/>
    <w:rsid w:val="007E2C02"/>
    <w:rsid w:val="007E3EF9"/>
    <w:rsid w:val="007E70D2"/>
    <w:rsid w:val="00803A25"/>
    <w:rsid w:val="008232D1"/>
    <w:rsid w:val="00831C85"/>
    <w:rsid w:val="00835143"/>
    <w:rsid w:val="0083706E"/>
    <w:rsid w:val="0085503F"/>
    <w:rsid w:val="008736F9"/>
    <w:rsid w:val="00884BFD"/>
    <w:rsid w:val="008A49A3"/>
    <w:rsid w:val="008D4E7C"/>
    <w:rsid w:val="00914B1D"/>
    <w:rsid w:val="00925C51"/>
    <w:rsid w:val="009261A2"/>
    <w:rsid w:val="00936749"/>
    <w:rsid w:val="00943285"/>
    <w:rsid w:val="00943623"/>
    <w:rsid w:val="009649A9"/>
    <w:rsid w:val="00970BDE"/>
    <w:rsid w:val="009955DD"/>
    <w:rsid w:val="00995803"/>
    <w:rsid w:val="009B5215"/>
    <w:rsid w:val="009B73CF"/>
    <w:rsid w:val="009D27AF"/>
    <w:rsid w:val="009E036D"/>
    <w:rsid w:val="009E0D64"/>
    <w:rsid w:val="009E4BE5"/>
    <w:rsid w:val="00A00BA5"/>
    <w:rsid w:val="00A01DFD"/>
    <w:rsid w:val="00A25638"/>
    <w:rsid w:val="00A349EE"/>
    <w:rsid w:val="00A501D7"/>
    <w:rsid w:val="00A8157A"/>
    <w:rsid w:val="00A924BC"/>
    <w:rsid w:val="00A94505"/>
    <w:rsid w:val="00AA604B"/>
    <w:rsid w:val="00AA712E"/>
    <w:rsid w:val="00AB7910"/>
    <w:rsid w:val="00AC05D9"/>
    <w:rsid w:val="00AC552E"/>
    <w:rsid w:val="00AF1652"/>
    <w:rsid w:val="00B55751"/>
    <w:rsid w:val="00B55D71"/>
    <w:rsid w:val="00B62066"/>
    <w:rsid w:val="00B844E2"/>
    <w:rsid w:val="00B874D6"/>
    <w:rsid w:val="00B93A9E"/>
    <w:rsid w:val="00BA1F37"/>
    <w:rsid w:val="00BA7314"/>
    <w:rsid w:val="00BB0D54"/>
    <w:rsid w:val="00BC277C"/>
    <w:rsid w:val="00BC7E20"/>
    <w:rsid w:val="00BD405B"/>
    <w:rsid w:val="00BD4A52"/>
    <w:rsid w:val="00BF1555"/>
    <w:rsid w:val="00C22331"/>
    <w:rsid w:val="00C35970"/>
    <w:rsid w:val="00C45254"/>
    <w:rsid w:val="00C50E5E"/>
    <w:rsid w:val="00CA2328"/>
    <w:rsid w:val="00CB000E"/>
    <w:rsid w:val="00CC0EF0"/>
    <w:rsid w:val="00CE3B63"/>
    <w:rsid w:val="00CF1DDD"/>
    <w:rsid w:val="00D167FB"/>
    <w:rsid w:val="00D602C7"/>
    <w:rsid w:val="00D75A24"/>
    <w:rsid w:val="00D813C2"/>
    <w:rsid w:val="00DA1D11"/>
    <w:rsid w:val="00DA231F"/>
    <w:rsid w:val="00DA6D61"/>
    <w:rsid w:val="00DB484A"/>
    <w:rsid w:val="00DF0E94"/>
    <w:rsid w:val="00DF54A9"/>
    <w:rsid w:val="00E06380"/>
    <w:rsid w:val="00E107B4"/>
    <w:rsid w:val="00E15FC2"/>
    <w:rsid w:val="00E20716"/>
    <w:rsid w:val="00E27F57"/>
    <w:rsid w:val="00E3199D"/>
    <w:rsid w:val="00E34F0D"/>
    <w:rsid w:val="00E40622"/>
    <w:rsid w:val="00E40899"/>
    <w:rsid w:val="00E43B08"/>
    <w:rsid w:val="00E56F61"/>
    <w:rsid w:val="00E642C5"/>
    <w:rsid w:val="00E73A09"/>
    <w:rsid w:val="00E92FB8"/>
    <w:rsid w:val="00E954C2"/>
    <w:rsid w:val="00EA5824"/>
    <w:rsid w:val="00EA69F6"/>
    <w:rsid w:val="00ED1B81"/>
    <w:rsid w:val="00ED37B8"/>
    <w:rsid w:val="00ED550D"/>
    <w:rsid w:val="00ED783C"/>
    <w:rsid w:val="00EE4384"/>
    <w:rsid w:val="00EE7A56"/>
    <w:rsid w:val="00EF026E"/>
    <w:rsid w:val="00F21F5D"/>
    <w:rsid w:val="00F22D31"/>
    <w:rsid w:val="00F3055A"/>
    <w:rsid w:val="00F31B56"/>
    <w:rsid w:val="00F412A1"/>
    <w:rsid w:val="00F7083C"/>
    <w:rsid w:val="00F93285"/>
    <w:rsid w:val="00FA5F57"/>
    <w:rsid w:val="00FC31C2"/>
    <w:rsid w:val="00FD1967"/>
    <w:rsid w:val="00FE0266"/>
    <w:rsid w:val="00FE0968"/>
    <w:rsid w:val="00FF254E"/>
    <w:rsid w:val="00FF260C"/>
    <w:rsid w:val="00FF61D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8DE23B"/>
  <w15:docId w15:val="{8D4F394D-F207-4A55-ADA7-DCE013A7B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6" w:unhideWhenUsed="1" w:qFormat="1"/>
    <w:lsdException w:name="List Bullet 3" w:semiHidden="1" w:unhideWhenUsed="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DF0E94"/>
    <w:pPr>
      <w:spacing w:after="0" w:line="240" w:lineRule="auto"/>
    </w:pPr>
  </w:style>
  <w:style w:type="paragraph" w:styleId="Heading1">
    <w:name w:val="heading 1"/>
    <w:basedOn w:val="Normal"/>
    <w:next w:val="BodyText"/>
    <w:link w:val="Heading1Char"/>
    <w:uiPriority w:val="1"/>
    <w:qFormat/>
    <w:rsid w:val="00DF0E94"/>
    <w:pPr>
      <w:keepNext/>
      <w:keepLines/>
      <w:spacing w:before="240" w:after="120" w:line="276" w:lineRule="auto"/>
      <w:outlineLvl w:val="0"/>
    </w:pPr>
    <w:rPr>
      <w:rFonts w:asciiTheme="majorHAnsi" w:eastAsiaTheme="majorEastAsia" w:hAnsiTheme="majorHAnsi" w:cstheme="majorBidi"/>
      <w:b/>
      <w:sz w:val="36"/>
      <w:szCs w:val="32"/>
    </w:rPr>
  </w:style>
  <w:style w:type="paragraph" w:styleId="Heading2">
    <w:name w:val="heading 2"/>
    <w:basedOn w:val="Normal"/>
    <w:next w:val="BodyText"/>
    <w:link w:val="Heading2Char"/>
    <w:uiPriority w:val="1"/>
    <w:qFormat/>
    <w:rsid w:val="00DF0E94"/>
    <w:pPr>
      <w:keepNext/>
      <w:keepLines/>
      <w:spacing w:before="240" w:after="120" w:line="300" w:lineRule="auto"/>
      <w:outlineLvl w:val="1"/>
    </w:pPr>
    <w:rPr>
      <w:rFonts w:asciiTheme="majorHAnsi" w:eastAsiaTheme="majorEastAsia" w:hAnsiTheme="majorHAnsi" w:cstheme="majorBidi"/>
      <w:b/>
      <w:sz w:val="28"/>
      <w:szCs w:val="26"/>
    </w:rPr>
  </w:style>
  <w:style w:type="paragraph" w:styleId="Heading3">
    <w:name w:val="heading 3"/>
    <w:basedOn w:val="Normal"/>
    <w:next w:val="BodyText"/>
    <w:link w:val="Heading3Char"/>
    <w:uiPriority w:val="1"/>
    <w:qFormat/>
    <w:rsid w:val="00DF0E94"/>
    <w:pPr>
      <w:keepNext/>
      <w:keepLines/>
      <w:spacing w:before="240" w:after="120" w:line="276" w:lineRule="auto"/>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qFormat/>
    <w:rsid w:val="00570B73"/>
    <w:pPr>
      <w:keepNext/>
      <w:keepLines/>
      <w:spacing w:before="40"/>
      <w:outlineLvl w:val="3"/>
    </w:pPr>
    <w:rPr>
      <w:rFonts w:asciiTheme="majorHAnsi" w:eastAsiaTheme="majorEastAsia" w:hAnsiTheme="majorHAnsi" w:cstheme="majorBidi"/>
      <w:i/>
      <w:iCs/>
      <w:color w:val="CC8A02" w:themeColor="accent1" w:themeShade="BF"/>
    </w:rPr>
  </w:style>
  <w:style w:type="paragraph" w:styleId="Heading5">
    <w:name w:val="heading 5"/>
    <w:basedOn w:val="Normal"/>
    <w:next w:val="Normal"/>
    <w:link w:val="Heading5Char"/>
    <w:uiPriority w:val="9"/>
    <w:semiHidden/>
    <w:qFormat/>
    <w:rsid w:val="00570B73"/>
    <w:pPr>
      <w:keepNext/>
      <w:keepLines/>
      <w:spacing w:before="40"/>
      <w:outlineLvl w:val="4"/>
    </w:pPr>
    <w:rPr>
      <w:rFonts w:asciiTheme="majorHAnsi" w:eastAsiaTheme="majorEastAsia" w:hAnsiTheme="majorHAnsi" w:cstheme="majorBidi"/>
      <w:color w:val="CC8A02" w:themeColor="accent1" w:themeShade="BF"/>
    </w:rPr>
  </w:style>
  <w:style w:type="paragraph" w:styleId="Heading6">
    <w:name w:val="heading 6"/>
    <w:basedOn w:val="Normal"/>
    <w:next w:val="Normal"/>
    <w:link w:val="Heading6Char"/>
    <w:uiPriority w:val="9"/>
    <w:semiHidden/>
    <w:qFormat/>
    <w:rsid w:val="00570B73"/>
    <w:pPr>
      <w:keepNext/>
      <w:keepLines/>
      <w:spacing w:before="40"/>
      <w:outlineLvl w:val="5"/>
    </w:pPr>
    <w:rPr>
      <w:rFonts w:asciiTheme="majorHAnsi" w:eastAsiaTheme="majorEastAsia" w:hAnsiTheme="majorHAnsi" w:cstheme="majorBidi"/>
      <w:color w:val="875C01" w:themeColor="accent1" w:themeShade="7F"/>
    </w:rPr>
  </w:style>
  <w:style w:type="paragraph" w:styleId="Heading7">
    <w:name w:val="heading 7"/>
    <w:basedOn w:val="Normal"/>
    <w:next w:val="Normal"/>
    <w:link w:val="Heading7Char"/>
    <w:uiPriority w:val="9"/>
    <w:semiHidden/>
    <w:qFormat/>
    <w:rsid w:val="00570B73"/>
    <w:pPr>
      <w:keepNext/>
      <w:keepLines/>
      <w:spacing w:before="40"/>
      <w:outlineLvl w:val="6"/>
    </w:pPr>
    <w:rPr>
      <w:rFonts w:asciiTheme="majorHAnsi" w:eastAsiaTheme="majorEastAsia" w:hAnsiTheme="majorHAnsi" w:cstheme="majorBidi"/>
      <w:i/>
      <w:iCs/>
      <w:color w:val="875C01" w:themeColor="accent1" w:themeShade="7F"/>
    </w:rPr>
  </w:style>
  <w:style w:type="paragraph" w:styleId="Heading8">
    <w:name w:val="heading 8"/>
    <w:basedOn w:val="Normal"/>
    <w:next w:val="Normal"/>
    <w:link w:val="Heading8Char"/>
    <w:uiPriority w:val="9"/>
    <w:semiHidden/>
    <w:qFormat/>
    <w:rsid w:val="00570B7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570B7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F0E94"/>
    <w:rPr>
      <w:rFonts w:asciiTheme="majorHAnsi" w:eastAsiaTheme="majorEastAsia" w:hAnsiTheme="majorHAnsi" w:cstheme="majorBidi"/>
      <w:b/>
      <w:sz w:val="36"/>
      <w:szCs w:val="32"/>
    </w:rPr>
  </w:style>
  <w:style w:type="character" w:customStyle="1" w:styleId="Heading2Char">
    <w:name w:val="Heading 2 Char"/>
    <w:basedOn w:val="DefaultParagraphFont"/>
    <w:link w:val="Heading2"/>
    <w:uiPriority w:val="1"/>
    <w:rsid w:val="00DF0E94"/>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1"/>
    <w:rsid w:val="00DF0E94"/>
    <w:rPr>
      <w:rFonts w:asciiTheme="majorHAnsi" w:eastAsiaTheme="majorEastAsia" w:hAnsiTheme="majorHAnsi" w:cstheme="majorBidi"/>
      <w:b/>
      <w:sz w:val="24"/>
      <w:szCs w:val="24"/>
    </w:rPr>
  </w:style>
  <w:style w:type="paragraph" w:styleId="Footer">
    <w:name w:val="footer"/>
    <w:basedOn w:val="Normal"/>
    <w:link w:val="FooterChar"/>
    <w:uiPriority w:val="99"/>
    <w:semiHidden/>
    <w:rsid w:val="00DF0E94"/>
    <w:pPr>
      <w:jc w:val="center"/>
    </w:pPr>
    <w:rPr>
      <w:sz w:val="19"/>
    </w:rPr>
  </w:style>
  <w:style w:type="character" w:customStyle="1" w:styleId="FooterChar">
    <w:name w:val="Footer Char"/>
    <w:basedOn w:val="DefaultParagraphFont"/>
    <w:link w:val="Footer"/>
    <w:uiPriority w:val="99"/>
    <w:rsid w:val="00DF0E94"/>
    <w:rPr>
      <w:sz w:val="19"/>
    </w:rPr>
  </w:style>
  <w:style w:type="paragraph" w:styleId="NoSpacing">
    <w:name w:val="No Spacing"/>
    <w:uiPriority w:val="1"/>
    <w:semiHidden/>
    <w:qFormat/>
    <w:rsid w:val="00DF0E94"/>
    <w:pPr>
      <w:spacing w:after="0" w:line="240" w:lineRule="auto"/>
    </w:pPr>
  </w:style>
  <w:style w:type="paragraph" w:styleId="BodyText">
    <w:name w:val="Body Text"/>
    <w:basedOn w:val="Normal"/>
    <w:link w:val="BodyTextChar"/>
    <w:qFormat/>
    <w:rsid w:val="00DF0E94"/>
    <w:pPr>
      <w:spacing w:after="120" w:line="276" w:lineRule="auto"/>
    </w:pPr>
  </w:style>
  <w:style w:type="character" w:customStyle="1" w:styleId="BodyTextChar">
    <w:name w:val="Body Text Char"/>
    <w:basedOn w:val="DefaultParagraphFont"/>
    <w:link w:val="BodyText"/>
    <w:rsid w:val="00DF0E94"/>
  </w:style>
  <w:style w:type="paragraph" w:customStyle="1" w:styleId="Heading1Numbered">
    <w:name w:val="Heading 1 Numbered"/>
    <w:basedOn w:val="Heading1"/>
    <w:next w:val="BodyText"/>
    <w:uiPriority w:val="2"/>
    <w:qFormat/>
    <w:rsid w:val="00DF0E94"/>
    <w:pPr>
      <w:numPr>
        <w:numId w:val="6"/>
      </w:numPr>
    </w:pPr>
  </w:style>
  <w:style w:type="paragraph" w:customStyle="1" w:styleId="Heading2Numbered">
    <w:name w:val="Heading 2 Numbered"/>
    <w:basedOn w:val="Heading2"/>
    <w:next w:val="BodyText"/>
    <w:uiPriority w:val="2"/>
    <w:qFormat/>
    <w:rsid w:val="00DF0E94"/>
    <w:pPr>
      <w:numPr>
        <w:ilvl w:val="1"/>
        <w:numId w:val="6"/>
      </w:numPr>
      <w:ind w:left="1135"/>
    </w:pPr>
  </w:style>
  <w:style w:type="paragraph" w:customStyle="1" w:styleId="Heading3Numbered">
    <w:name w:val="Heading 3 Numbered"/>
    <w:basedOn w:val="Heading3"/>
    <w:next w:val="BodyTextIndent"/>
    <w:uiPriority w:val="2"/>
    <w:qFormat/>
    <w:rsid w:val="00DF0E94"/>
    <w:pPr>
      <w:numPr>
        <w:ilvl w:val="2"/>
        <w:numId w:val="6"/>
      </w:numPr>
    </w:pPr>
    <w:rPr>
      <w:rFonts w:asciiTheme="minorHAnsi" w:hAnsiTheme="minorHAnsi"/>
    </w:rPr>
  </w:style>
  <w:style w:type="numbering" w:customStyle="1" w:styleId="Numbering">
    <w:name w:val="Numbering"/>
    <w:uiPriority w:val="99"/>
    <w:rsid w:val="00DF0E94"/>
    <w:pPr>
      <w:numPr>
        <w:numId w:val="1"/>
      </w:numPr>
    </w:pPr>
  </w:style>
  <w:style w:type="paragraph" w:styleId="ListNumber">
    <w:name w:val="List Number"/>
    <w:basedOn w:val="Normal"/>
    <w:uiPriority w:val="4"/>
    <w:qFormat/>
    <w:rsid w:val="00DF0E94"/>
    <w:pPr>
      <w:numPr>
        <w:numId w:val="9"/>
      </w:numPr>
      <w:spacing w:after="120" w:line="276" w:lineRule="auto"/>
      <w:contextualSpacing/>
    </w:pPr>
  </w:style>
  <w:style w:type="paragraph" w:styleId="ListNumber2">
    <w:name w:val="List Number 2"/>
    <w:basedOn w:val="Normal"/>
    <w:uiPriority w:val="4"/>
    <w:qFormat/>
    <w:rsid w:val="00DF0E94"/>
    <w:pPr>
      <w:numPr>
        <w:ilvl w:val="1"/>
        <w:numId w:val="9"/>
      </w:numPr>
      <w:spacing w:after="120" w:line="276" w:lineRule="auto"/>
      <w:contextualSpacing/>
    </w:pPr>
  </w:style>
  <w:style w:type="paragraph" w:styleId="ListNumber3">
    <w:name w:val="List Number 3"/>
    <w:basedOn w:val="Normal"/>
    <w:uiPriority w:val="4"/>
    <w:qFormat/>
    <w:rsid w:val="00DF0E94"/>
    <w:pPr>
      <w:numPr>
        <w:ilvl w:val="2"/>
        <w:numId w:val="9"/>
      </w:numPr>
      <w:spacing w:after="120" w:line="276" w:lineRule="auto"/>
      <w:contextualSpacing/>
    </w:pPr>
  </w:style>
  <w:style w:type="numbering" w:customStyle="1" w:styleId="ListNumbering">
    <w:name w:val="List Numbering"/>
    <w:uiPriority w:val="99"/>
    <w:rsid w:val="00DF0E94"/>
    <w:pPr>
      <w:numPr>
        <w:numId w:val="2"/>
      </w:numPr>
    </w:pPr>
  </w:style>
  <w:style w:type="paragraph" w:styleId="ListBullet">
    <w:name w:val="List Bullet"/>
    <w:basedOn w:val="Normal"/>
    <w:uiPriority w:val="6"/>
    <w:qFormat/>
    <w:rsid w:val="00DF0E94"/>
    <w:pPr>
      <w:numPr>
        <w:numId w:val="8"/>
      </w:numPr>
      <w:spacing w:after="120" w:line="276" w:lineRule="auto"/>
      <w:contextualSpacing/>
    </w:pPr>
  </w:style>
  <w:style w:type="paragraph" w:styleId="ListBullet2">
    <w:name w:val="List Bullet 2"/>
    <w:basedOn w:val="Normal"/>
    <w:uiPriority w:val="6"/>
    <w:qFormat/>
    <w:rsid w:val="00DF0E94"/>
    <w:pPr>
      <w:numPr>
        <w:ilvl w:val="1"/>
        <w:numId w:val="8"/>
      </w:numPr>
      <w:spacing w:after="120" w:line="276" w:lineRule="auto"/>
      <w:contextualSpacing/>
    </w:pPr>
  </w:style>
  <w:style w:type="paragraph" w:styleId="BodyTextIndent">
    <w:name w:val="Body Text Indent"/>
    <w:basedOn w:val="Normal"/>
    <w:link w:val="BodyTextIndentChar"/>
    <w:qFormat/>
    <w:rsid w:val="00DF0E94"/>
    <w:pPr>
      <w:spacing w:after="120" w:line="276" w:lineRule="auto"/>
      <w:ind w:left="709"/>
    </w:pPr>
  </w:style>
  <w:style w:type="character" w:customStyle="1" w:styleId="BodyTextIndentChar">
    <w:name w:val="Body Text Indent Char"/>
    <w:basedOn w:val="DefaultParagraphFont"/>
    <w:link w:val="BodyTextIndent"/>
    <w:rsid w:val="00DF0E94"/>
  </w:style>
  <w:style w:type="paragraph" w:styleId="Title">
    <w:name w:val="Title"/>
    <w:basedOn w:val="Normal"/>
    <w:next w:val="Normal"/>
    <w:link w:val="TitleChar"/>
    <w:uiPriority w:val="10"/>
    <w:semiHidden/>
    <w:qFormat/>
    <w:rsid w:val="00DF0E9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DF0E94"/>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DF0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CCTable">
    <w:name w:val="BCC Table"/>
    <w:basedOn w:val="TableNormal"/>
    <w:uiPriority w:val="99"/>
    <w:rsid w:val="00DF0E94"/>
    <w:pPr>
      <w:spacing w:after="0" w:line="240" w:lineRule="auto"/>
    </w:pPr>
    <w:rPr>
      <w:sz w:val="20"/>
    </w:rPr>
    <w:tblPr>
      <w:tblBorders>
        <w:bottom w:val="single" w:sz="4" w:space="0" w:color="auto"/>
        <w:insideH w:val="dotted" w:sz="4" w:space="0" w:color="auto"/>
        <w:insideV w:val="single" w:sz="4" w:space="0" w:color="auto"/>
      </w:tblBorders>
    </w:tblPr>
    <w:tblStylePr w:type="firstRow">
      <w:rPr>
        <w:b/>
      </w:rPr>
      <w:tblPr/>
      <w:tcPr>
        <w:tcBorders>
          <w:top w:val="nil"/>
          <w:left w:val="nil"/>
          <w:bottom w:val="single" w:sz="4" w:space="0" w:color="auto"/>
          <w:right w:val="nil"/>
          <w:insideH w:val="nil"/>
          <w:insideV w:val="single" w:sz="4" w:space="0" w:color="auto"/>
          <w:tl2br w:val="nil"/>
          <w:tr2bl w:val="nil"/>
        </w:tcBorders>
      </w:tcPr>
    </w:tblStylePr>
  </w:style>
  <w:style w:type="paragraph" w:styleId="BalloonText">
    <w:name w:val="Balloon Text"/>
    <w:basedOn w:val="Normal"/>
    <w:link w:val="BalloonTextChar"/>
    <w:uiPriority w:val="99"/>
    <w:semiHidden/>
    <w:unhideWhenUsed/>
    <w:rsid w:val="00DF0E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E94"/>
    <w:rPr>
      <w:rFonts w:ascii="Segoe UI" w:hAnsi="Segoe UI" w:cs="Segoe UI"/>
      <w:sz w:val="18"/>
      <w:szCs w:val="18"/>
    </w:rPr>
  </w:style>
  <w:style w:type="numbering" w:styleId="111111">
    <w:name w:val="Outline List 2"/>
    <w:basedOn w:val="NoList"/>
    <w:uiPriority w:val="99"/>
    <w:semiHidden/>
    <w:unhideWhenUsed/>
    <w:rsid w:val="00570B73"/>
    <w:pPr>
      <w:numPr>
        <w:numId w:val="3"/>
      </w:numPr>
    </w:pPr>
  </w:style>
  <w:style w:type="numbering" w:styleId="1ai">
    <w:name w:val="Outline List 1"/>
    <w:basedOn w:val="NoList"/>
    <w:uiPriority w:val="99"/>
    <w:semiHidden/>
    <w:unhideWhenUsed/>
    <w:rsid w:val="00570B73"/>
    <w:pPr>
      <w:numPr>
        <w:numId w:val="4"/>
      </w:numPr>
    </w:pPr>
  </w:style>
  <w:style w:type="character" w:customStyle="1" w:styleId="Heading4Char">
    <w:name w:val="Heading 4 Char"/>
    <w:basedOn w:val="DefaultParagraphFont"/>
    <w:link w:val="Heading4"/>
    <w:uiPriority w:val="9"/>
    <w:semiHidden/>
    <w:rsid w:val="00DA1D11"/>
    <w:rPr>
      <w:rFonts w:asciiTheme="majorHAnsi" w:eastAsiaTheme="majorEastAsia" w:hAnsiTheme="majorHAnsi" w:cstheme="majorBidi"/>
      <w:i/>
      <w:iCs/>
      <w:color w:val="CC8A02" w:themeColor="accent1" w:themeShade="BF"/>
    </w:rPr>
  </w:style>
  <w:style w:type="character" w:customStyle="1" w:styleId="Heading5Char">
    <w:name w:val="Heading 5 Char"/>
    <w:basedOn w:val="DefaultParagraphFont"/>
    <w:link w:val="Heading5"/>
    <w:uiPriority w:val="9"/>
    <w:semiHidden/>
    <w:rsid w:val="00DA1D11"/>
    <w:rPr>
      <w:rFonts w:asciiTheme="majorHAnsi" w:eastAsiaTheme="majorEastAsia" w:hAnsiTheme="majorHAnsi" w:cstheme="majorBidi"/>
      <w:color w:val="CC8A02" w:themeColor="accent1" w:themeShade="BF"/>
    </w:rPr>
  </w:style>
  <w:style w:type="character" w:customStyle="1" w:styleId="Heading6Char">
    <w:name w:val="Heading 6 Char"/>
    <w:basedOn w:val="DefaultParagraphFont"/>
    <w:link w:val="Heading6"/>
    <w:uiPriority w:val="9"/>
    <w:semiHidden/>
    <w:rsid w:val="00DA1D11"/>
    <w:rPr>
      <w:rFonts w:asciiTheme="majorHAnsi" w:eastAsiaTheme="majorEastAsia" w:hAnsiTheme="majorHAnsi" w:cstheme="majorBidi"/>
      <w:color w:val="875C01" w:themeColor="accent1" w:themeShade="7F"/>
    </w:rPr>
  </w:style>
  <w:style w:type="character" w:customStyle="1" w:styleId="Heading7Char">
    <w:name w:val="Heading 7 Char"/>
    <w:basedOn w:val="DefaultParagraphFont"/>
    <w:link w:val="Heading7"/>
    <w:uiPriority w:val="9"/>
    <w:semiHidden/>
    <w:rsid w:val="00DA1D11"/>
    <w:rPr>
      <w:rFonts w:asciiTheme="majorHAnsi" w:eastAsiaTheme="majorEastAsia" w:hAnsiTheme="majorHAnsi" w:cstheme="majorBidi"/>
      <w:i/>
      <w:iCs/>
      <w:color w:val="875C01" w:themeColor="accent1" w:themeShade="7F"/>
    </w:rPr>
  </w:style>
  <w:style w:type="character" w:customStyle="1" w:styleId="Heading8Char">
    <w:name w:val="Heading 8 Char"/>
    <w:basedOn w:val="DefaultParagraphFont"/>
    <w:link w:val="Heading8"/>
    <w:uiPriority w:val="9"/>
    <w:semiHidden/>
    <w:rsid w:val="00DA1D1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A1D11"/>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570B73"/>
    <w:pPr>
      <w:numPr>
        <w:numId w:val="5"/>
      </w:numPr>
    </w:pPr>
  </w:style>
  <w:style w:type="paragraph" w:styleId="Bibliography">
    <w:name w:val="Bibliography"/>
    <w:basedOn w:val="Normal"/>
    <w:next w:val="Normal"/>
    <w:uiPriority w:val="37"/>
    <w:semiHidden/>
    <w:unhideWhenUsed/>
    <w:rsid w:val="00570B73"/>
  </w:style>
  <w:style w:type="paragraph" w:styleId="BlockText">
    <w:name w:val="Block Text"/>
    <w:basedOn w:val="Normal"/>
    <w:uiPriority w:val="99"/>
    <w:semiHidden/>
    <w:unhideWhenUsed/>
    <w:rsid w:val="00570B73"/>
    <w:pPr>
      <w:pBdr>
        <w:top w:val="single" w:sz="2" w:space="10" w:color="FCB319" w:themeColor="accent1" w:frame="1"/>
        <w:left w:val="single" w:sz="2" w:space="10" w:color="FCB319" w:themeColor="accent1" w:frame="1"/>
        <w:bottom w:val="single" w:sz="2" w:space="10" w:color="FCB319" w:themeColor="accent1" w:frame="1"/>
        <w:right w:val="single" w:sz="2" w:space="10" w:color="FCB319" w:themeColor="accent1" w:frame="1"/>
      </w:pBdr>
      <w:ind w:left="1152" w:right="1152"/>
    </w:pPr>
    <w:rPr>
      <w:i/>
      <w:iCs/>
      <w:color w:val="FCB319" w:themeColor="accent1"/>
    </w:rPr>
  </w:style>
  <w:style w:type="paragraph" w:styleId="BodyText2">
    <w:name w:val="Body Text 2"/>
    <w:basedOn w:val="Normal"/>
    <w:link w:val="BodyText2Char"/>
    <w:uiPriority w:val="99"/>
    <w:semiHidden/>
    <w:unhideWhenUsed/>
    <w:rsid w:val="00570B73"/>
    <w:pPr>
      <w:spacing w:after="120" w:line="480" w:lineRule="auto"/>
    </w:pPr>
  </w:style>
  <w:style w:type="character" w:customStyle="1" w:styleId="BodyText2Char">
    <w:name w:val="Body Text 2 Char"/>
    <w:basedOn w:val="DefaultParagraphFont"/>
    <w:link w:val="BodyText2"/>
    <w:uiPriority w:val="99"/>
    <w:semiHidden/>
    <w:rsid w:val="00570B73"/>
  </w:style>
  <w:style w:type="paragraph" w:styleId="BodyText3">
    <w:name w:val="Body Text 3"/>
    <w:basedOn w:val="Normal"/>
    <w:link w:val="BodyText3Char"/>
    <w:uiPriority w:val="99"/>
    <w:semiHidden/>
    <w:unhideWhenUsed/>
    <w:rsid w:val="00570B73"/>
    <w:pPr>
      <w:spacing w:after="120"/>
    </w:pPr>
    <w:rPr>
      <w:sz w:val="16"/>
      <w:szCs w:val="16"/>
    </w:rPr>
  </w:style>
  <w:style w:type="character" w:customStyle="1" w:styleId="BodyText3Char">
    <w:name w:val="Body Text 3 Char"/>
    <w:basedOn w:val="DefaultParagraphFont"/>
    <w:link w:val="BodyText3"/>
    <w:uiPriority w:val="99"/>
    <w:semiHidden/>
    <w:rsid w:val="00570B73"/>
    <w:rPr>
      <w:sz w:val="16"/>
      <w:szCs w:val="16"/>
    </w:rPr>
  </w:style>
  <w:style w:type="paragraph" w:styleId="BodyTextFirstIndent">
    <w:name w:val="Body Text First Indent"/>
    <w:basedOn w:val="BodyText"/>
    <w:link w:val="BodyTextFirstIndentChar"/>
    <w:uiPriority w:val="99"/>
    <w:semiHidden/>
    <w:unhideWhenUsed/>
    <w:rsid w:val="00570B73"/>
    <w:pPr>
      <w:spacing w:after="0" w:line="240" w:lineRule="auto"/>
      <w:ind w:firstLine="360"/>
    </w:pPr>
  </w:style>
  <w:style w:type="character" w:customStyle="1" w:styleId="BodyTextFirstIndentChar">
    <w:name w:val="Body Text First Indent Char"/>
    <w:basedOn w:val="BodyTextChar"/>
    <w:link w:val="BodyTextFirstIndent"/>
    <w:uiPriority w:val="99"/>
    <w:semiHidden/>
    <w:rsid w:val="00570B73"/>
    <w:rPr>
      <w:lang w:eastAsia="en-AU"/>
    </w:rPr>
  </w:style>
  <w:style w:type="paragraph" w:styleId="BodyTextFirstIndent2">
    <w:name w:val="Body Text First Indent 2"/>
    <w:basedOn w:val="BodyTextIndent"/>
    <w:link w:val="BodyTextFirstIndent2Char"/>
    <w:uiPriority w:val="99"/>
    <w:semiHidden/>
    <w:unhideWhenUsed/>
    <w:rsid w:val="00570B73"/>
    <w:pPr>
      <w:spacing w:after="0" w:line="240" w:lineRule="auto"/>
      <w:ind w:left="360" w:firstLine="360"/>
    </w:pPr>
  </w:style>
  <w:style w:type="character" w:customStyle="1" w:styleId="BodyTextFirstIndent2Char">
    <w:name w:val="Body Text First Indent 2 Char"/>
    <w:basedOn w:val="BodyTextIndentChar"/>
    <w:link w:val="BodyTextFirstIndent2"/>
    <w:uiPriority w:val="99"/>
    <w:semiHidden/>
    <w:rsid w:val="00570B73"/>
    <w:rPr>
      <w:lang w:eastAsia="en-AU"/>
    </w:rPr>
  </w:style>
  <w:style w:type="paragraph" w:styleId="BodyTextIndent2">
    <w:name w:val="Body Text Indent 2"/>
    <w:basedOn w:val="BodyTextIndent"/>
    <w:link w:val="BodyTextIndent2Char"/>
    <w:uiPriority w:val="99"/>
    <w:unhideWhenUsed/>
    <w:rsid w:val="00DF0E94"/>
    <w:pPr>
      <w:ind w:left="1418"/>
    </w:pPr>
  </w:style>
  <w:style w:type="character" w:customStyle="1" w:styleId="BodyTextIndent2Char">
    <w:name w:val="Body Text Indent 2 Char"/>
    <w:basedOn w:val="DefaultParagraphFont"/>
    <w:link w:val="BodyTextIndent2"/>
    <w:uiPriority w:val="99"/>
    <w:rsid w:val="00DF0E94"/>
  </w:style>
  <w:style w:type="paragraph" w:styleId="BodyTextIndent3">
    <w:name w:val="Body Text Indent 3"/>
    <w:basedOn w:val="Normal"/>
    <w:link w:val="BodyTextIndent3Char"/>
    <w:uiPriority w:val="99"/>
    <w:semiHidden/>
    <w:unhideWhenUsed/>
    <w:rsid w:val="00570B7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70B73"/>
    <w:rPr>
      <w:sz w:val="16"/>
      <w:szCs w:val="16"/>
    </w:rPr>
  </w:style>
  <w:style w:type="character" w:styleId="BookTitle">
    <w:name w:val="Book Title"/>
    <w:basedOn w:val="DefaultParagraphFont"/>
    <w:uiPriority w:val="33"/>
    <w:semiHidden/>
    <w:qFormat/>
    <w:rsid w:val="00570B73"/>
    <w:rPr>
      <w:b/>
      <w:bCs/>
      <w:i/>
      <w:iCs/>
      <w:spacing w:val="5"/>
    </w:rPr>
  </w:style>
  <w:style w:type="paragraph" w:styleId="Caption">
    <w:name w:val="caption"/>
    <w:basedOn w:val="Normal"/>
    <w:next w:val="Normal"/>
    <w:uiPriority w:val="35"/>
    <w:semiHidden/>
    <w:unhideWhenUsed/>
    <w:qFormat/>
    <w:rsid w:val="00570B73"/>
    <w:pPr>
      <w:spacing w:after="200"/>
    </w:pPr>
    <w:rPr>
      <w:i/>
      <w:iCs/>
      <w:color w:val="1E75BA" w:themeColor="text2"/>
      <w:sz w:val="18"/>
      <w:szCs w:val="18"/>
    </w:rPr>
  </w:style>
  <w:style w:type="paragraph" w:styleId="Closing">
    <w:name w:val="Closing"/>
    <w:basedOn w:val="Normal"/>
    <w:link w:val="ClosingChar"/>
    <w:uiPriority w:val="99"/>
    <w:semiHidden/>
    <w:unhideWhenUsed/>
    <w:rsid w:val="00570B73"/>
    <w:pPr>
      <w:ind w:left="4252"/>
    </w:pPr>
  </w:style>
  <w:style w:type="character" w:customStyle="1" w:styleId="ClosingChar">
    <w:name w:val="Closing Char"/>
    <w:basedOn w:val="DefaultParagraphFont"/>
    <w:link w:val="Closing"/>
    <w:uiPriority w:val="99"/>
    <w:semiHidden/>
    <w:rsid w:val="00570B73"/>
  </w:style>
  <w:style w:type="table" w:styleId="ColorfulGrid">
    <w:name w:val="Colorful Grid"/>
    <w:basedOn w:val="TableNormal"/>
    <w:uiPriority w:val="73"/>
    <w:semiHidden/>
    <w:unhideWhenUsed/>
    <w:rsid w:val="00570B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70B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FD0" w:themeFill="accent1" w:themeFillTint="33"/>
    </w:tcPr>
    <w:tblStylePr w:type="firstRow">
      <w:rPr>
        <w:b/>
        <w:bCs/>
      </w:rPr>
      <w:tblPr/>
      <w:tcPr>
        <w:shd w:val="clear" w:color="auto" w:fill="FDE0A2" w:themeFill="accent1" w:themeFillTint="66"/>
      </w:tcPr>
    </w:tblStylePr>
    <w:tblStylePr w:type="lastRow">
      <w:rPr>
        <w:b/>
        <w:bCs/>
        <w:color w:val="000000" w:themeColor="text1"/>
      </w:rPr>
      <w:tblPr/>
      <w:tcPr>
        <w:shd w:val="clear" w:color="auto" w:fill="FDE0A2" w:themeFill="accent1" w:themeFillTint="66"/>
      </w:tcPr>
    </w:tblStylePr>
    <w:tblStylePr w:type="firstCol">
      <w:rPr>
        <w:color w:val="FFFFFF" w:themeColor="background1"/>
      </w:rPr>
      <w:tblPr/>
      <w:tcPr>
        <w:shd w:val="clear" w:color="auto" w:fill="CC8A02" w:themeFill="accent1" w:themeFillShade="BF"/>
      </w:tcPr>
    </w:tblStylePr>
    <w:tblStylePr w:type="lastCol">
      <w:rPr>
        <w:color w:val="FFFFFF" w:themeColor="background1"/>
      </w:rPr>
      <w:tblPr/>
      <w:tcPr>
        <w:shd w:val="clear" w:color="auto" w:fill="CC8A02" w:themeFill="accent1" w:themeFillShade="BF"/>
      </w:tcPr>
    </w:tblStylePr>
    <w:tblStylePr w:type="band1Vert">
      <w:tblPr/>
      <w:tcPr>
        <w:shd w:val="clear" w:color="auto" w:fill="FDD88C" w:themeFill="accent1" w:themeFillTint="7F"/>
      </w:tcPr>
    </w:tblStylePr>
    <w:tblStylePr w:type="band1Horz">
      <w:tblPr/>
      <w:tcPr>
        <w:shd w:val="clear" w:color="auto" w:fill="FDD88C" w:themeFill="accent1" w:themeFillTint="7F"/>
      </w:tcPr>
    </w:tblStylePr>
  </w:style>
  <w:style w:type="table" w:styleId="ColorfulGrid-Accent2">
    <w:name w:val="Colorful Grid Accent 2"/>
    <w:basedOn w:val="TableNormal"/>
    <w:uiPriority w:val="73"/>
    <w:semiHidden/>
    <w:unhideWhenUsed/>
    <w:rsid w:val="00570B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CDE7" w:themeFill="accent2" w:themeFillTint="33"/>
    </w:tcPr>
    <w:tblStylePr w:type="firstRow">
      <w:rPr>
        <w:b/>
        <w:bCs/>
      </w:rPr>
      <w:tblPr/>
      <w:tcPr>
        <w:shd w:val="clear" w:color="auto" w:fill="F99BD0" w:themeFill="accent2" w:themeFillTint="66"/>
      </w:tcPr>
    </w:tblStylePr>
    <w:tblStylePr w:type="lastRow">
      <w:rPr>
        <w:b/>
        <w:bCs/>
        <w:color w:val="000000" w:themeColor="text1"/>
      </w:rPr>
      <w:tblPr/>
      <w:tcPr>
        <w:shd w:val="clear" w:color="auto" w:fill="F99BD0" w:themeFill="accent2" w:themeFillTint="66"/>
      </w:tcPr>
    </w:tblStylePr>
    <w:tblStylePr w:type="firstCol">
      <w:rPr>
        <w:color w:val="FFFFFF" w:themeColor="background1"/>
      </w:rPr>
      <w:tblPr/>
      <w:tcPr>
        <w:shd w:val="clear" w:color="auto" w:fill="AC0A66" w:themeFill="accent2" w:themeFillShade="BF"/>
      </w:tcPr>
    </w:tblStylePr>
    <w:tblStylePr w:type="lastCol">
      <w:rPr>
        <w:color w:val="FFFFFF" w:themeColor="background1"/>
      </w:rPr>
      <w:tblPr/>
      <w:tcPr>
        <w:shd w:val="clear" w:color="auto" w:fill="AC0A66" w:themeFill="accent2" w:themeFillShade="BF"/>
      </w:tcPr>
    </w:tblStylePr>
    <w:tblStylePr w:type="band1Vert">
      <w:tblPr/>
      <w:tcPr>
        <w:shd w:val="clear" w:color="auto" w:fill="F782C5" w:themeFill="accent2" w:themeFillTint="7F"/>
      </w:tcPr>
    </w:tblStylePr>
    <w:tblStylePr w:type="band1Horz">
      <w:tblPr/>
      <w:tcPr>
        <w:shd w:val="clear" w:color="auto" w:fill="F782C5" w:themeFill="accent2" w:themeFillTint="7F"/>
      </w:tcPr>
    </w:tblStylePr>
  </w:style>
  <w:style w:type="table" w:styleId="ColorfulGrid-Accent3">
    <w:name w:val="Colorful Grid Accent 3"/>
    <w:basedOn w:val="TableNormal"/>
    <w:uiPriority w:val="73"/>
    <w:semiHidden/>
    <w:unhideWhenUsed/>
    <w:rsid w:val="00570B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F2FF" w:themeFill="accent3" w:themeFillTint="33"/>
    </w:tcPr>
    <w:tblStylePr w:type="firstRow">
      <w:rPr>
        <w:b/>
        <w:bCs/>
      </w:rPr>
      <w:tblPr/>
      <w:tcPr>
        <w:shd w:val="clear" w:color="auto" w:fill="8EE6FF" w:themeFill="accent3" w:themeFillTint="66"/>
      </w:tcPr>
    </w:tblStylePr>
    <w:tblStylePr w:type="lastRow">
      <w:rPr>
        <w:b/>
        <w:bCs/>
        <w:color w:val="000000" w:themeColor="text1"/>
      </w:rPr>
      <w:tblPr/>
      <w:tcPr>
        <w:shd w:val="clear" w:color="auto" w:fill="8EE6FF" w:themeFill="accent3" w:themeFillTint="66"/>
      </w:tcPr>
    </w:tblStylePr>
    <w:tblStylePr w:type="firstCol">
      <w:rPr>
        <w:color w:val="FFFFFF" w:themeColor="background1"/>
      </w:rPr>
      <w:tblPr/>
      <w:tcPr>
        <w:shd w:val="clear" w:color="auto" w:fill="0085AA" w:themeFill="accent3" w:themeFillShade="BF"/>
      </w:tcPr>
    </w:tblStylePr>
    <w:tblStylePr w:type="lastCol">
      <w:rPr>
        <w:color w:val="FFFFFF" w:themeColor="background1"/>
      </w:rPr>
      <w:tblPr/>
      <w:tcPr>
        <w:shd w:val="clear" w:color="auto" w:fill="0085AA" w:themeFill="accent3" w:themeFillShade="BF"/>
      </w:tcPr>
    </w:tblStylePr>
    <w:tblStylePr w:type="band1Vert">
      <w:tblPr/>
      <w:tcPr>
        <w:shd w:val="clear" w:color="auto" w:fill="72E0FF" w:themeFill="accent3" w:themeFillTint="7F"/>
      </w:tcPr>
    </w:tblStylePr>
    <w:tblStylePr w:type="band1Horz">
      <w:tblPr/>
      <w:tcPr>
        <w:shd w:val="clear" w:color="auto" w:fill="72E0FF" w:themeFill="accent3" w:themeFillTint="7F"/>
      </w:tcPr>
    </w:tblStylePr>
  </w:style>
  <w:style w:type="table" w:styleId="ColorfulGrid-Accent4">
    <w:name w:val="Colorful Grid Accent 4"/>
    <w:basedOn w:val="TableNormal"/>
    <w:uiPriority w:val="73"/>
    <w:semiHidden/>
    <w:unhideWhenUsed/>
    <w:rsid w:val="00570B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3D8" w:themeFill="accent4" w:themeFillTint="33"/>
    </w:tcPr>
    <w:tblStylePr w:type="firstRow">
      <w:rPr>
        <w:b/>
        <w:bCs/>
      </w:rPr>
      <w:tblPr/>
      <w:tcPr>
        <w:shd w:val="clear" w:color="auto" w:fill="D0E8B2" w:themeFill="accent4" w:themeFillTint="66"/>
      </w:tcPr>
    </w:tblStylePr>
    <w:tblStylePr w:type="lastRow">
      <w:rPr>
        <w:b/>
        <w:bCs/>
        <w:color w:val="000000" w:themeColor="text1"/>
      </w:rPr>
      <w:tblPr/>
      <w:tcPr>
        <w:shd w:val="clear" w:color="auto" w:fill="D0E8B2" w:themeFill="accent4" w:themeFillTint="66"/>
      </w:tcPr>
    </w:tblStylePr>
    <w:tblStylePr w:type="firstCol">
      <w:rPr>
        <w:color w:val="FFFFFF" w:themeColor="background1"/>
      </w:rPr>
      <w:tblPr/>
      <w:tcPr>
        <w:shd w:val="clear" w:color="auto" w:fill="68962D" w:themeFill="accent4" w:themeFillShade="BF"/>
      </w:tcPr>
    </w:tblStylePr>
    <w:tblStylePr w:type="lastCol">
      <w:rPr>
        <w:color w:val="FFFFFF" w:themeColor="background1"/>
      </w:rPr>
      <w:tblPr/>
      <w:tcPr>
        <w:shd w:val="clear" w:color="auto" w:fill="68962D" w:themeFill="accent4" w:themeFillShade="BF"/>
      </w:tcPr>
    </w:tblStylePr>
    <w:tblStylePr w:type="band1Vert">
      <w:tblPr/>
      <w:tcPr>
        <w:shd w:val="clear" w:color="auto" w:fill="C4E29F" w:themeFill="accent4" w:themeFillTint="7F"/>
      </w:tcPr>
    </w:tblStylePr>
    <w:tblStylePr w:type="band1Horz">
      <w:tblPr/>
      <w:tcPr>
        <w:shd w:val="clear" w:color="auto" w:fill="C4E29F" w:themeFill="accent4" w:themeFillTint="7F"/>
      </w:tcPr>
    </w:tblStylePr>
  </w:style>
  <w:style w:type="table" w:styleId="ColorfulGrid-Accent5">
    <w:name w:val="Colorful Grid Accent 5"/>
    <w:basedOn w:val="TableNormal"/>
    <w:uiPriority w:val="73"/>
    <w:semiHidden/>
    <w:unhideWhenUsed/>
    <w:rsid w:val="00570B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D7D8" w:themeFill="accent5" w:themeFillTint="33"/>
    </w:tcPr>
    <w:tblStylePr w:type="firstRow">
      <w:rPr>
        <w:b/>
        <w:bCs/>
      </w:rPr>
      <w:tblPr/>
      <w:tcPr>
        <w:shd w:val="clear" w:color="auto" w:fill="F8AFB3" w:themeFill="accent5" w:themeFillTint="66"/>
      </w:tcPr>
    </w:tblStylePr>
    <w:tblStylePr w:type="lastRow">
      <w:rPr>
        <w:b/>
        <w:bCs/>
        <w:color w:val="000000" w:themeColor="text1"/>
      </w:rPr>
      <w:tblPr/>
      <w:tcPr>
        <w:shd w:val="clear" w:color="auto" w:fill="F8AFB3" w:themeFill="accent5" w:themeFillTint="66"/>
      </w:tcPr>
    </w:tblStylePr>
    <w:tblStylePr w:type="firstCol">
      <w:rPr>
        <w:color w:val="FFFFFF" w:themeColor="background1"/>
      </w:rPr>
      <w:tblPr/>
      <w:tcPr>
        <w:shd w:val="clear" w:color="auto" w:fill="CD1019" w:themeFill="accent5" w:themeFillShade="BF"/>
      </w:tcPr>
    </w:tblStylePr>
    <w:tblStylePr w:type="lastCol">
      <w:rPr>
        <w:color w:val="FFFFFF" w:themeColor="background1"/>
      </w:rPr>
      <w:tblPr/>
      <w:tcPr>
        <w:shd w:val="clear" w:color="auto" w:fill="CD1019" w:themeFill="accent5" w:themeFillShade="BF"/>
      </w:tcPr>
    </w:tblStylePr>
    <w:tblStylePr w:type="band1Vert">
      <w:tblPr/>
      <w:tcPr>
        <w:shd w:val="clear" w:color="auto" w:fill="F79CA0" w:themeFill="accent5" w:themeFillTint="7F"/>
      </w:tcPr>
    </w:tblStylePr>
    <w:tblStylePr w:type="band1Horz">
      <w:tblPr/>
      <w:tcPr>
        <w:shd w:val="clear" w:color="auto" w:fill="F79CA0" w:themeFill="accent5" w:themeFillTint="7F"/>
      </w:tcPr>
    </w:tblStylePr>
  </w:style>
  <w:style w:type="table" w:styleId="ColorfulGrid-Accent6">
    <w:name w:val="Colorful Grid Accent 6"/>
    <w:basedOn w:val="TableNormal"/>
    <w:uiPriority w:val="73"/>
    <w:unhideWhenUsed/>
    <w:rsid w:val="00570B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F7CC" w:themeFill="accent6" w:themeFillTint="33"/>
    </w:tcPr>
    <w:tblStylePr w:type="firstRow">
      <w:rPr>
        <w:b/>
        <w:bCs/>
      </w:rPr>
      <w:tblPr/>
      <w:tcPr>
        <w:shd w:val="clear" w:color="auto" w:fill="FEF09A" w:themeFill="accent6" w:themeFillTint="66"/>
      </w:tcPr>
    </w:tblStylePr>
    <w:tblStylePr w:type="lastRow">
      <w:rPr>
        <w:b/>
        <w:bCs/>
        <w:color w:val="000000" w:themeColor="text1"/>
      </w:rPr>
      <w:tblPr/>
      <w:tcPr>
        <w:shd w:val="clear" w:color="auto" w:fill="FEF09A" w:themeFill="accent6" w:themeFillTint="66"/>
      </w:tcPr>
    </w:tblStylePr>
    <w:tblStylePr w:type="firstCol">
      <w:rPr>
        <w:color w:val="FFFFFF" w:themeColor="background1"/>
      </w:rPr>
      <w:tblPr/>
      <w:tcPr>
        <w:shd w:val="clear" w:color="auto" w:fill="BEA401" w:themeFill="accent6" w:themeFillShade="BF"/>
      </w:tcPr>
    </w:tblStylePr>
    <w:tblStylePr w:type="lastCol">
      <w:rPr>
        <w:color w:val="FFFFFF" w:themeColor="background1"/>
      </w:rPr>
      <w:tblPr/>
      <w:tcPr>
        <w:shd w:val="clear" w:color="auto" w:fill="BEA401" w:themeFill="accent6" w:themeFillShade="BF"/>
      </w:tcPr>
    </w:tblStylePr>
    <w:tblStylePr w:type="band1Vert">
      <w:tblPr/>
      <w:tcPr>
        <w:shd w:val="clear" w:color="auto" w:fill="FEEC81" w:themeFill="accent6" w:themeFillTint="7F"/>
      </w:tcPr>
    </w:tblStylePr>
    <w:tblStylePr w:type="band1Horz">
      <w:tblPr/>
      <w:tcPr>
        <w:shd w:val="clear" w:color="auto" w:fill="FEEC81" w:themeFill="accent6" w:themeFillTint="7F"/>
      </w:tcPr>
    </w:tblStylePr>
  </w:style>
  <w:style w:type="table" w:styleId="ColorfulList">
    <w:name w:val="Colorful List"/>
    <w:basedOn w:val="TableNormal"/>
    <w:uiPriority w:val="72"/>
    <w:semiHidden/>
    <w:unhideWhenUsed/>
    <w:rsid w:val="00570B7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80B6D" w:themeFill="accent2" w:themeFillShade="CC"/>
      </w:tcPr>
    </w:tblStylePr>
    <w:tblStylePr w:type="lastRow">
      <w:rPr>
        <w:b/>
        <w:bCs/>
        <w:color w:val="B80B6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70B73"/>
    <w:pPr>
      <w:spacing w:after="0" w:line="240" w:lineRule="auto"/>
    </w:pPr>
    <w:rPr>
      <w:color w:val="000000" w:themeColor="text1"/>
    </w:rPr>
    <w:tblPr>
      <w:tblStyleRowBandSize w:val="1"/>
      <w:tblStyleColBandSize w:val="1"/>
    </w:tblPr>
    <w:tcPr>
      <w:shd w:val="clear" w:color="auto" w:fill="FEF7E8" w:themeFill="accent1" w:themeFillTint="19"/>
    </w:tcPr>
    <w:tblStylePr w:type="firstRow">
      <w:rPr>
        <w:b/>
        <w:bCs/>
        <w:color w:val="FFFFFF" w:themeColor="background1"/>
      </w:rPr>
      <w:tblPr/>
      <w:tcPr>
        <w:tcBorders>
          <w:bottom w:val="single" w:sz="12" w:space="0" w:color="FFFFFF" w:themeColor="background1"/>
        </w:tcBorders>
        <w:shd w:val="clear" w:color="auto" w:fill="B80B6D" w:themeFill="accent2" w:themeFillShade="CC"/>
      </w:tcPr>
    </w:tblStylePr>
    <w:tblStylePr w:type="lastRow">
      <w:rPr>
        <w:b/>
        <w:bCs/>
        <w:color w:val="B80B6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BC6" w:themeFill="accent1" w:themeFillTint="3F"/>
      </w:tcPr>
    </w:tblStylePr>
    <w:tblStylePr w:type="band1Horz">
      <w:tblPr/>
      <w:tcPr>
        <w:shd w:val="clear" w:color="auto" w:fill="FEEFD0" w:themeFill="accent1" w:themeFillTint="33"/>
      </w:tcPr>
    </w:tblStylePr>
  </w:style>
  <w:style w:type="table" w:styleId="ColorfulList-Accent2">
    <w:name w:val="Colorful List Accent 2"/>
    <w:basedOn w:val="TableNormal"/>
    <w:uiPriority w:val="72"/>
    <w:semiHidden/>
    <w:unhideWhenUsed/>
    <w:rsid w:val="00570B73"/>
    <w:pPr>
      <w:spacing w:after="0" w:line="240" w:lineRule="auto"/>
    </w:pPr>
    <w:rPr>
      <w:color w:val="000000" w:themeColor="text1"/>
    </w:rPr>
    <w:tblPr>
      <w:tblStyleRowBandSize w:val="1"/>
      <w:tblStyleColBandSize w:val="1"/>
    </w:tblPr>
    <w:tcPr>
      <w:shd w:val="clear" w:color="auto" w:fill="FDE6F3" w:themeFill="accent2" w:themeFillTint="19"/>
    </w:tcPr>
    <w:tblStylePr w:type="firstRow">
      <w:rPr>
        <w:b/>
        <w:bCs/>
        <w:color w:val="FFFFFF" w:themeColor="background1"/>
      </w:rPr>
      <w:tblPr/>
      <w:tcPr>
        <w:tcBorders>
          <w:bottom w:val="single" w:sz="12" w:space="0" w:color="FFFFFF" w:themeColor="background1"/>
        </w:tcBorders>
        <w:shd w:val="clear" w:color="auto" w:fill="B80B6D" w:themeFill="accent2" w:themeFillShade="CC"/>
      </w:tcPr>
    </w:tblStylePr>
    <w:tblStylePr w:type="lastRow">
      <w:rPr>
        <w:b/>
        <w:bCs/>
        <w:color w:val="B80B6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C1E2" w:themeFill="accent2" w:themeFillTint="3F"/>
      </w:tcPr>
    </w:tblStylePr>
    <w:tblStylePr w:type="band1Horz">
      <w:tblPr/>
      <w:tcPr>
        <w:shd w:val="clear" w:color="auto" w:fill="FCCDE7" w:themeFill="accent2" w:themeFillTint="33"/>
      </w:tcPr>
    </w:tblStylePr>
  </w:style>
  <w:style w:type="table" w:styleId="ColorfulList-Accent3">
    <w:name w:val="Colorful List Accent 3"/>
    <w:basedOn w:val="TableNormal"/>
    <w:uiPriority w:val="72"/>
    <w:semiHidden/>
    <w:unhideWhenUsed/>
    <w:rsid w:val="00570B73"/>
    <w:pPr>
      <w:spacing w:after="0" w:line="240" w:lineRule="auto"/>
    </w:pPr>
    <w:rPr>
      <w:color w:val="000000" w:themeColor="text1"/>
    </w:rPr>
    <w:tblPr>
      <w:tblStyleRowBandSize w:val="1"/>
      <w:tblStyleColBandSize w:val="1"/>
    </w:tblPr>
    <w:tcPr>
      <w:shd w:val="clear" w:color="auto" w:fill="E3F9FF" w:themeFill="accent3" w:themeFillTint="19"/>
    </w:tcPr>
    <w:tblStylePr w:type="firstRow">
      <w:rPr>
        <w:b/>
        <w:bCs/>
        <w:color w:val="FFFFFF" w:themeColor="background1"/>
      </w:rPr>
      <w:tblPr/>
      <w:tcPr>
        <w:tcBorders>
          <w:bottom w:val="single" w:sz="12" w:space="0" w:color="FFFFFF" w:themeColor="background1"/>
        </w:tcBorders>
        <w:shd w:val="clear" w:color="auto" w:fill="6FA130" w:themeFill="accent4" w:themeFillShade="CC"/>
      </w:tcPr>
    </w:tblStylePr>
    <w:tblStylePr w:type="lastRow">
      <w:rPr>
        <w:b/>
        <w:bCs/>
        <w:color w:val="6FA13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FFF" w:themeFill="accent3" w:themeFillTint="3F"/>
      </w:tcPr>
    </w:tblStylePr>
    <w:tblStylePr w:type="band1Horz">
      <w:tblPr/>
      <w:tcPr>
        <w:shd w:val="clear" w:color="auto" w:fill="C6F2FF" w:themeFill="accent3" w:themeFillTint="33"/>
      </w:tcPr>
    </w:tblStylePr>
  </w:style>
  <w:style w:type="table" w:styleId="ColorfulList-Accent4">
    <w:name w:val="Colorful List Accent 4"/>
    <w:basedOn w:val="TableNormal"/>
    <w:uiPriority w:val="72"/>
    <w:semiHidden/>
    <w:unhideWhenUsed/>
    <w:rsid w:val="00570B73"/>
    <w:pPr>
      <w:spacing w:after="0" w:line="240" w:lineRule="auto"/>
    </w:pPr>
    <w:rPr>
      <w:color w:val="000000" w:themeColor="text1"/>
    </w:rPr>
    <w:tblPr>
      <w:tblStyleRowBandSize w:val="1"/>
      <w:tblStyleColBandSize w:val="1"/>
    </w:tblPr>
    <w:tcPr>
      <w:shd w:val="clear" w:color="auto" w:fill="F3F9EC" w:themeFill="accent4" w:themeFillTint="19"/>
    </w:tcPr>
    <w:tblStylePr w:type="firstRow">
      <w:rPr>
        <w:b/>
        <w:bCs/>
        <w:color w:val="FFFFFF" w:themeColor="background1"/>
      </w:rPr>
      <w:tblPr/>
      <w:tcPr>
        <w:tcBorders>
          <w:bottom w:val="single" w:sz="12" w:space="0" w:color="FFFFFF" w:themeColor="background1"/>
        </w:tcBorders>
        <w:shd w:val="clear" w:color="auto" w:fill="008FB6" w:themeFill="accent3" w:themeFillShade="CC"/>
      </w:tcPr>
    </w:tblStylePr>
    <w:tblStylePr w:type="lastRow">
      <w:rPr>
        <w:b/>
        <w:bCs/>
        <w:color w:val="008F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1CF" w:themeFill="accent4" w:themeFillTint="3F"/>
      </w:tcPr>
    </w:tblStylePr>
    <w:tblStylePr w:type="band1Horz">
      <w:tblPr/>
      <w:tcPr>
        <w:shd w:val="clear" w:color="auto" w:fill="E7F3D8" w:themeFill="accent4" w:themeFillTint="33"/>
      </w:tcPr>
    </w:tblStylePr>
  </w:style>
  <w:style w:type="table" w:styleId="ColorfulList-Accent5">
    <w:name w:val="Colorful List Accent 5"/>
    <w:basedOn w:val="TableNormal"/>
    <w:uiPriority w:val="72"/>
    <w:semiHidden/>
    <w:unhideWhenUsed/>
    <w:rsid w:val="00570B73"/>
    <w:pPr>
      <w:spacing w:after="0" w:line="240" w:lineRule="auto"/>
    </w:pPr>
    <w:rPr>
      <w:color w:val="000000" w:themeColor="text1"/>
    </w:rPr>
    <w:tblPr>
      <w:tblStyleRowBandSize w:val="1"/>
      <w:tblStyleColBandSize w:val="1"/>
    </w:tblPr>
    <w:tcPr>
      <w:shd w:val="clear" w:color="auto" w:fill="FDEBEC" w:themeFill="accent5" w:themeFillTint="19"/>
    </w:tcPr>
    <w:tblStylePr w:type="firstRow">
      <w:rPr>
        <w:b/>
        <w:bCs/>
        <w:color w:val="FFFFFF" w:themeColor="background1"/>
      </w:rPr>
      <w:tblPr/>
      <w:tcPr>
        <w:tcBorders>
          <w:bottom w:val="single" w:sz="12" w:space="0" w:color="FFFFFF" w:themeColor="background1"/>
        </w:tcBorders>
        <w:shd w:val="clear" w:color="auto" w:fill="CAAF01" w:themeFill="accent6" w:themeFillShade="CC"/>
      </w:tcPr>
    </w:tblStylePr>
    <w:tblStylePr w:type="lastRow">
      <w:rPr>
        <w:b/>
        <w:bCs/>
        <w:color w:val="CAAF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CDCF" w:themeFill="accent5" w:themeFillTint="3F"/>
      </w:tcPr>
    </w:tblStylePr>
    <w:tblStylePr w:type="band1Horz">
      <w:tblPr/>
      <w:tcPr>
        <w:shd w:val="clear" w:color="auto" w:fill="FBD7D8" w:themeFill="accent5" w:themeFillTint="33"/>
      </w:tcPr>
    </w:tblStylePr>
  </w:style>
  <w:style w:type="table" w:styleId="ColorfulList-Accent6">
    <w:name w:val="Colorful List Accent 6"/>
    <w:basedOn w:val="TableNormal"/>
    <w:uiPriority w:val="72"/>
    <w:semiHidden/>
    <w:unhideWhenUsed/>
    <w:rsid w:val="00570B73"/>
    <w:pPr>
      <w:spacing w:after="0" w:line="240" w:lineRule="auto"/>
    </w:pPr>
    <w:rPr>
      <w:color w:val="000000" w:themeColor="text1"/>
    </w:rPr>
    <w:tblPr>
      <w:tblStyleRowBandSize w:val="1"/>
      <w:tblStyleColBandSize w:val="1"/>
    </w:tblPr>
    <w:tcPr>
      <w:shd w:val="clear" w:color="auto" w:fill="FEFBE6" w:themeFill="accent6" w:themeFillTint="19"/>
    </w:tcPr>
    <w:tblStylePr w:type="firstRow">
      <w:rPr>
        <w:b/>
        <w:bCs/>
        <w:color w:val="FFFFFF" w:themeColor="background1"/>
      </w:rPr>
      <w:tblPr/>
      <w:tcPr>
        <w:tcBorders>
          <w:bottom w:val="single" w:sz="12" w:space="0" w:color="FFFFFF" w:themeColor="background1"/>
        </w:tcBorders>
        <w:shd w:val="clear" w:color="auto" w:fill="DA111B" w:themeFill="accent5" w:themeFillShade="CC"/>
      </w:tcPr>
    </w:tblStylePr>
    <w:tblStylePr w:type="lastRow">
      <w:rPr>
        <w:b/>
        <w:bCs/>
        <w:color w:val="DA111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5C0" w:themeFill="accent6" w:themeFillTint="3F"/>
      </w:tcPr>
    </w:tblStylePr>
    <w:tblStylePr w:type="band1Horz">
      <w:tblPr/>
      <w:tcPr>
        <w:shd w:val="clear" w:color="auto" w:fill="FEF7CC" w:themeFill="accent6" w:themeFillTint="33"/>
      </w:tcPr>
    </w:tblStylePr>
  </w:style>
  <w:style w:type="table" w:styleId="ColorfulShading">
    <w:name w:val="Colorful Shading"/>
    <w:basedOn w:val="TableNormal"/>
    <w:uiPriority w:val="71"/>
    <w:semiHidden/>
    <w:unhideWhenUsed/>
    <w:rsid w:val="00570B73"/>
    <w:pPr>
      <w:spacing w:after="0" w:line="240" w:lineRule="auto"/>
    </w:pPr>
    <w:rPr>
      <w:color w:val="000000" w:themeColor="text1"/>
    </w:rPr>
    <w:tblPr>
      <w:tblStyleRowBandSize w:val="1"/>
      <w:tblStyleColBandSize w:val="1"/>
      <w:tblBorders>
        <w:top w:val="single" w:sz="24" w:space="0" w:color="E70E8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70E8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70B73"/>
    <w:pPr>
      <w:spacing w:after="0" w:line="240" w:lineRule="auto"/>
    </w:pPr>
    <w:rPr>
      <w:color w:val="000000" w:themeColor="text1"/>
    </w:rPr>
    <w:tblPr>
      <w:tblStyleRowBandSize w:val="1"/>
      <w:tblStyleColBandSize w:val="1"/>
      <w:tblBorders>
        <w:top w:val="single" w:sz="24" w:space="0" w:color="E70E8A" w:themeColor="accent2"/>
        <w:left w:val="single" w:sz="4" w:space="0" w:color="FCB319" w:themeColor="accent1"/>
        <w:bottom w:val="single" w:sz="4" w:space="0" w:color="FCB319" w:themeColor="accent1"/>
        <w:right w:val="single" w:sz="4" w:space="0" w:color="FCB319" w:themeColor="accent1"/>
        <w:insideH w:val="single" w:sz="4" w:space="0" w:color="FFFFFF" w:themeColor="background1"/>
        <w:insideV w:val="single" w:sz="4" w:space="0" w:color="FFFFFF" w:themeColor="background1"/>
      </w:tblBorders>
    </w:tblPr>
    <w:tcPr>
      <w:shd w:val="clear" w:color="auto" w:fill="FEF7E8" w:themeFill="accent1" w:themeFillTint="19"/>
    </w:tcPr>
    <w:tblStylePr w:type="firstRow">
      <w:rPr>
        <w:b/>
        <w:bCs/>
      </w:rPr>
      <w:tblPr/>
      <w:tcPr>
        <w:tcBorders>
          <w:top w:val="nil"/>
          <w:left w:val="nil"/>
          <w:bottom w:val="single" w:sz="24" w:space="0" w:color="E70E8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6F02" w:themeFill="accent1" w:themeFillShade="99"/>
      </w:tcPr>
    </w:tblStylePr>
    <w:tblStylePr w:type="firstCol">
      <w:rPr>
        <w:color w:val="FFFFFF" w:themeColor="background1"/>
      </w:rPr>
      <w:tblPr/>
      <w:tcPr>
        <w:tcBorders>
          <w:top w:val="nil"/>
          <w:left w:val="nil"/>
          <w:bottom w:val="nil"/>
          <w:right w:val="nil"/>
          <w:insideH w:val="single" w:sz="4" w:space="0" w:color="A36F02" w:themeColor="accent1" w:themeShade="99"/>
          <w:insideV w:val="nil"/>
        </w:tcBorders>
        <w:shd w:val="clear" w:color="auto" w:fill="A36F0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36F02" w:themeFill="accent1" w:themeFillShade="99"/>
      </w:tcPr>
    </w:tblStylePr>
    <w:tblStylePr w:type="band1Vert">
      <w:tblPr/>
      <w:tcPr>
        <w:shd w:val="clear" w:color="auto" w:fill="FDE0A2" w:themeFill="accent1" w:themeFillTint="66"/>
      </w:tcPr>
    </w:tblStylePr>
    <w:tblStylePr w:type="band1Horz">
      <w:tblPr/>
      <w:tcPr>
        <w:shd w:val="clear" w:color="auto" w:fill="FDD88C"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70B73"/>
    <w:pPr>
      <w:spacing w:after="0" w:line="240" w:lineRule="auto"/>
    </w:pPr>
    <w:rPr>
      <w:color w:val="000000" w:themeColor="text1"/>
    </w:rPr>
    <w:tblPr>
      <w:tblStyleRowBandSize w:val="1"/>
      <w:tblStyleColBandSize w:val="1"/>
      <w:tblBorders>
        <w:top w:val="single" w:sz="24" w:space="0" w:color="E70E8A" w:themeColor="accent2"/>
        <w:left w:val="single" w:sz="4" w:space="0" w:color="E70E8A" w:themeColor="accent2"/>
        <w:bottom w:val="single" w:sz="4" w:space="0" w:color="E70E8A" w:themeColor="accent2"/>
        <w:right w:val="single" w:sz="4" w:space="0" w:color="E70E8A" w:themeColor="accent2"/>
        <w:insideH w:val="single" w:sz="4" w:space="0" w:color="FFFFFF" w:themeColor="background1"/>
        <w:insideV w:val="single" w:sz="4" w:space="0" w:color="FFFFFF" w:themeColor="background1"/>
      </w:tblBorders>
    </w:tblPr>
    <w:tcPr>
      <w:shd w:val="clear" w:color="auto" w:fill="FDE6F3" w:themeFill="accent2" w:themeFillTint="19"/>
    </w:tcPr>
    <w:tblStylePr w:type="firstRow">
      <w:rPr>
        <w:b/>
        <w:bCs/>
      </w:rPr>
      <w:tblPr/>
      <w:tcPr>
        <w:tcBorders>
          <w:top w:val="nil"/>
          <w:left w:val="nil"/>
          <w:bottom w:val="single" w:sz="24" w:space="0" w:color="E70E8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0852" w:themeFill="accent2" w:themeFillShade="99"/>
      </w:tcPr>
    </w:tblStylePr>
    <w:tblStylePr w:type="firstCol">
      <w:rPr>
        <w:color w:val="FFFFFF" w:themeColor="background1"/>
      </w:rPr>
      <w:tblPr/>
      <w:tcPr>
        <w:tcBorders>
          <w:top w:val="nil"/>
          <w:left w:val="nil"/>
          <w:bottom w:val="nil"/>
          <w:right w:val="nil"/>
          <w:insideH w:val="single" w:sz="4" w:space="0" w:color="8A0852" w:themeColor="accent2" w:themeShade="99"/>
          <w:insideV w:val="nil"/>
        </w:tcBorders>
        <w:shd w:val="clear" w:color="auto" w:fill="8A085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A0852" w:themeFill="accent2" w:themeFillShade="99"/>
      </w:tcPr>
    </w:tblStylePr>
    <w:tblStylePr w:type="band1Vert">
      <w:tblPr/>
      <w:tcPr>
        <w:shd w:val="clear" w:color="auto" w:fill="F99BD0" w:themeFill="accent2" w:themeFillTint="66"/>
      </w:tcPr>
    </w:tblStylePr>
    <w:tblStylePr w:type="band1Horz">
      <w:tblPr/>
      <w:tcPr>
        <w:shd w:val="clear" w:color="auto" w:fill="F782C5"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70B73"/>
    <w:pPr>
      <w:spacing w:after="0" w:line="240" w:lineRule="auto"/>
    </w:pPr>
    <w:rPr>
      <w:color w:val="000000" w:themeColor="text1"/>
    </w:rPr>
    <w:tblPr>
      <w:tblStyleRowBandSize w:val="1"/>
      <w:tblStyleColBandSize w:val="1"/>
      <w:tblBorders>
        <w:top w:val="single" w:sz="24" w:space="0" w:color="8BC640" w:themeColor="accent4"/>
        <w:left w:val="single" w:sz="4" w:space="0" w:color="00B3E4" w:themeColor="accent3"/>
        <w:bottom w:val="single" w:sz="4" w:space="0" w:color="00B3E4" w:themeColor="accent3"/>
        <w:right w:val="single" w:sz="4" w:space="0" w:color="00B3E4" w:themeColor="accent3"/>
        <w:insideH w:val="single" w:sz="4" w:space="0" w:color="FFFFFF" w:themeColor="background1"/>
        <w:insideV w:val="single" w:sz="4" w:space="0" w:color="FFFFFF" w:themeColor="background1"/>
      </w:tblBorders>
    </w:tblPr>
    <w:tcPr>
      <w:shd w:val="clear" w:color="auto" w:fill="E3F9FF" w:themeFill="accent3" w:themeFillTint="19"/>
    </w:tcPr>
    <w:tblStylePr w:type="firstRow">
      <w:rPr>
        <w:b/>
        <w:bCs/>
      </w:rPr>
      <w:tblPr/>
      <w:tcPr>
        <w:tcBorders>
          <w:top w:val="nil"/>
          <w:left w:val="nil"/>
          <w:bottom w:val="single" w:sz="24" w:space="0" w:color="8BC64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B88" w:themeFill="accent3" w:themeFillShade="99"/>
      </w:tcPr>
    </w:tblStylePr>
    <w:tblStylePr w:type="firstCol">
      <w:rPr>
        <w:color w:val="FFFFFF" w:themeColor="background1"/>
      </w:rPr>
      <w:tblPr/>
      <w:tcPr>
        <w:tcBorders>
          <w:top w:val="nil"/>
          <w:left w:val="nil"/>
          <w:bottom w:val="nil"/>
          <w:right w:val="nil"/>
          <w:insideH w:val="single" w:sz="4" w:space="0" w:color="006B88" w:themeColor="accent3" w:themeShade="99"/>
          <w:insideV w:val="nil"/>
        </w:tcBorders>
        <w:shd w:val="clear" w:color="auto" w:fill="006B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B88" w:themeFill="accent3" w:themeFillShade="99"/>
      </w:tcPr>
    </w:tblStylePr>
    <w:tblStylePr w:type="band1Vert">
      <w:tblPr/>
      <w:tcPr>
        <w:shd w:val="clear" w:color="auto" w:fill="8EE6FF" w:themeFill="accent3" w:themeFillTint="66"/>
      </w:tcPr>
    </w:tblStylePr>
    <w:tblStylePr w:type="band1Horz">
      <w:tblPr/>
      <w:tcPr>
        <w:shd w:val="clear" w:color="auto" w:fill="72E0FF" w:themeFill="accent3" w:themeFillTint="7F"/>
      </w:tcPr>
    </w:tblStylePr>
  </w:style>
  <w:style w:type="table" w:styleId="ColorfulShading-Accent4">
    <w:name w:val="Colorful Shading Accent 4"/>
    <w:basedOn w:val="TableNormal"/>
    <w:uiPriority w:val="71"/>
    <w:semiHidden/>
    <w:unhideWhenUsed/>
    <w:rsid w:val="00570B73"/>
    <w:pPr>
      <w:spacing w:after="0" w:line="240" w:lineRule="auto"/>
    </w:pPr>
    <w:rPr>
      <w:color w:val="000000" w:themeColor="text1"/>
    </w:rPr>
    <w:tblPr>
      <w:tblStyleRowBandSize w:val="1"/>
      <w:tblStyleColBandSize w:val="1"/>
      <w:tblBorders>
        <w:top w:val="single" w:sz="24" w:space="0" w:color="00B3E4" w:themeColor="accent3"/>
        <w:left w:val="single" w:sz="4" w:space="0" w:color="8BC640" w:themeColor="accent4"/>
        <w:bottom w:val="single" w:sz="4" w:space="0" w:color="8BC640" w:themeColor="accent4"/>
        <w:right w:val="single" w:sz="4" w:space="0" w:color="8BC640" w:themeColor="accent4"/>
        <w:insideH w:val="single" w:sz="4" w:space="0" w:color="FFFFFF" w:themeColor="background1"/>
        <w:insideV w:val="single" w:sz="4" w:space="0" w:color="FFFFFF" w:themeColor="background1"/>
      </w:tblBorders>
    </w:tblPr>
    <w:tcPr>
      <w:shd w:val="clear" w:color="auto" w:fill="F3F9EC" w:themeFill="accent4" w:themeFillTint="19"/>
    </w:tcPr>
    <w:tblStylePr w:type="firstRow">
      <w:rPr>
        <w:b/>
        <w:bCs/>
      </w:rPr>
      <w:tblPr/>
      <w:tcPr>
        <w:tcBorders>
          <w:top w:val="nil"/>
          <w:left w:val="nil"/>
          <w:bottom w:val="single" w:sz="24" w:space="0" w:color="00B3E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37824" w:themeFill="accent4" w:themeFillShade="99"/>
      </w:tcPr>
    </w:tblStylePr>
    <w:tblStylePr w:type="firstCol">
      <w:rPr>
        <w:color w:val="FFFFFF" w:themeColor="background1"/>
      </w:rPr>
      <w:tblPr/>
      <w:tcPr>
        <w:tcBorders>
          <w:top w:val="nil"/>
          <w:left w:val="nil"/>
          <w:bottom w:val="nil"/>
          <w:right w:val="nil"/>
          <w:insideH w:val="single" w:sz="4" w:space="0" w:color="537824" w:themeColor="accent4" w:themeShade="99"/>
          <w:insideV w:val="nil"/>
        </w:tcBorders>
        <w:shd w:val="clear" w:color="auto" w:fill="537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37824" w:themeFill="accent4" w:themeFillShade="99"/>
      </w:tcPr>
    </w:tblStylePr>
    <w:tblStylePr w:type="band1Vert">
      <w:tblPr/>
      <w:tcPr>
        <w:shd w:val="clear" w:color="auto" w:fill="D0E8B2" w:themeFill="accent4" w:themeFillTint="66"/>
      </w:tcPr>
    </w:tblStylePr>
    <w:tblStylePr w:type="band1Horz">
      <w:tblPr/>
      <w:tcPr>
        <w:shd w:val="clear" w:color="auto" w:fill="C4E29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70B73"/>
    <w:pPr>
      <w:spacing w:after="0" w:line="240" w:lineRule="auto"/>
    </w:pPr>
    <w:rPr>
      <w:color w:val="000000" w:themeColor="text1"/>
    </w:rPr>
    <w:tblPr>
      <w:tblStyleRowBandSize w:val="1"/>
      <w:tblStyleColBandSize w:val="1"/>
      <w:tblBorders>
        <w:top w:val="single" w:sz="24" w:space="0" w:color="FDDB03" w:themeColor="accent6"/>
        <w:left w:val="single" w:sz="4" w:space="0" w:color="EF3942" w:themeColor="accent5"/>
        <w:bottom w:val="single" w:sz="4" w:space="0" w:color="EF3942" w:themeColor="accent5"/>
        <w:right w:val="single" w:sz="4" w:space="0" w:color="EF3942" w:themeColor="accent5"/>
        <w:insideH w:val="single" w:sz="4" w:space="0" w:color="FFFFFF" w:themeColor="background1"/>
        <w:insideV w:val="single" w:sz="4" w:space="0" w:color="FFFFFF" w:themeColor="background1"/>
      </w:tblBorders>
    </w:tblPr>
    <w:tcPr>
      <w:shd w:val="clear" w:color="auto" w:fill="FDEBEC" w:themeFill="accent5" w:themeFillTint="19"/>
    </w:tcPr>
    <w:tblStylePr w:type="firstRow">
      <w:rPr>
        <w:b/>
        <w:bCs/>
      </w:rPr>
      <w:tblPr/>
      <w:tcPr>
        <w:tcBorders>
          <w:top w:val="nil"/>
          <w:left w:val="nil"/>
          <w:bottom w:val="single" w:sz="24" w:space="0" w:color="FDDB0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40D14" w:themeFill="accent5" w:themeFillShade="99"/>
      </w:tcPr>
    </w:tblStylePr>
    <w:tblStylePr w:type="firstCol">
      <w:rPr>
        <w:color w:val="FFFFFF" w:themeColor="background1"/>
      </w:rPr>
      <w:tblPr/>
      <w:tcPr>
        <w:tcBorders>
          <w:top w:val="nil"/>
          <w:left w:val="nil"/>
          <w:bottom w:val="nil"/>
          <w:right w:val="nil"/>
          <w:insideH w:val="single" w:sz="4" w:space="0" w:color="A40D14" w:themeColor="accent5" w:themeShade="99"/>
          <w:insideV w:val="nil"/>
        </w:tcBorders>
        <w:shd w:val="clear" w:color="auto" w:fill="A40D1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40D14" w:themeFill="accent5" w:themeFillShade="99"/>
      </w:tcPr>
    </w:tblStylePr>
    <w:tblStylePr w:type="band1Vert">
      <w:tblPr/>
      <w:tcPr>
        <w:shd w:val="clear" w:color="auto" w:fill="F8AFB3" w:themeFill="accent5" w:themeFillTint="66"/>
      </w:tcPr>
    </w:tblStylePr>
    <w:tblStylePr w:type="band1Horz">
      <w:tblPr/>
      <w:tcPr>
        <w:shd w:val="clear" w:color="auto" w:fill="F79C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70B73"/>
    <w:pPr>
      <w:spacing w:after="0" w:line="240" w:lineRule="auto"/>
    </w:pPr>
    <w:rPr>
      <w:color w:val="000000" w:themeColor="text1"/>
    </w:rPr>
    <w:tblPr>
      <w:tblStyleRowBandSize w:val="1"/>
      <w:tblStyleColBandSize w:val="1"/>
      <w:tblBorders>
        <w:top w:val="single" w:sz="24" w:space="0" w:color="EF3942" w:themeColor="accent5"/>
        <w:left w:val="single" w:sz="4" w:space="0" w:color="FDDB03" w:themeColor="accent6"/>
        <w:bottom w:val="single" w:sz="4" w:space="0" w:color="FDDB03" w:themeColor="accent6"/>
        <w:right w:val="single" w:sz="4" w:space="0" w:color="FDDB03" w:themeColor="accent6"/>
        <w:insideH w:val="single" w:sz="4" w:space="0" w:color="FFFFFF" w:themeColor="background1"/>
        <w:insideV w:val="single" w:sz="4" w:space="0" w:color="FFFFFF" w:themeColor="background1"/>
      </w:tblBorders>
    </w:tblPr>
    <w:tcPr>
      <w:shd w:val="clear" w:color="auto" w:fill="FEFBE6" w:themeFill="accent6" w:themeFillTint="19"/>
    </w:tcPr>
    <w:tblStylePr w:type="firstRow">
      <w:rPr>
        <w:b/>
        <w:bCs/>
      </w:rPr>
      <w:tblPr/>
      <w:tcPr>
        <w:tcBorders>
          <w:top w:val="nil"/>
          <w:left w:val="nil"/>
          <w:bottom w:val="single" w:sz="24" w:space="0" w:color="EF39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8301" w:themeFill="accent6" w:themeFillShade="99"/>
      </w:tcPr>
    </w:tblStylePr>
    <w:tblStylePr w:type="firstCol">
      <w:rPr>
        <w:color w:val="FFFFFF" w:themeColor="background1"/>
      </w:rPr>
      <w:tblPr/>
      <w:tcPr>
        <w:tcBorders>
          <w:top w:val="nil"/>
          <w:left w:val="nil"/>
          <w:bottom w:val="nil"/>
          <w:right w:val="nil"/>
          <w:insideH w:val="single" w:sz="4" w:space="0" w:color="988301" w:themeColor="accent6" w:themeShade="99"/>
          <w:insideV w:val="nil"/>
        </w:tcBorders>
        <w:shd w:val="clear" w:color="auto" w:fill="9883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8301" w:themeFill="accent6" w:themeFillShade="99"/>
      </w:tcPr>
    </w:tblStylePr>
    <w:tblStylePr w:type="band1Vert">
      <w:tblPr/>
      <w:tcPr>
        <w:shd w:val="clear" w:color="auto" w:fill="FEF09A" w:themeFill="accent6" w:themeFillTint="66"/>
      </w:tcPr>
    </w:tblStylePr>
    <w:tblStylePr w:type="band1Horz">
      <w:tblPr/>
      <w:tcPr>
        <w:shd w:val="clear" w:color="auto" w:fill="FEEC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70B73"/>
    <w:rPr>
      <w:sz w:val="16"/>
      <w:szCs w:val="16"/>
    </w:rPr>
  </w:style>
  <w:style w:type="paragraph" w:styleId="CommentText">
    <w:name w:val="annotation text"/>
    <w:basedOn w:val="Normal"/>
    <w:link w:val="CommentTextChar"/>
    <w:uiPriority w:val="99"/>
    <w:semiHidden/>
    <w:unhideWhenUsed/>
    <w:rsid w:val="00570B73"/>
    <w:rPr>
      <w:sz w:val="20"/>
      <w:szCs w:val="20"/>
    </w:rPr>
  </w:style>
  <w:style w:type="character" w:customStyle="1" w:styleId="CommentTextChar">
    <w:name w:val="Comment Text Char"/>
    <w:basedOn w:val="DefaultParagraphFont"/>
    <w:link w:val="CommentText"/>
    <w:uiPriority w:val="99"/>
    <w:semiHidden/>
    <w:rsid w:val="00570B73"/>
    <w:rPr>
      <w:sz w:val="20"/>
      <w:szCs w:val="20"/>
    </w:rPr>
  </w:style>
  <w:style w:type="paragraph" w:styleId="CommentSubject">
    <w:name w:val="annotation subject"/>
    <w:basedOn w:val="CommentText"/>
    <w:next w:val="CommentText"/>
    <w:link w:val="CommentSubjectChar"/>
    <w:uiPriority w:val="99"/>
    <w:semiHidden/>
    <w:unhideWhenUsed/>
    <w:rsid w:val="00570B73"/>
    <w:rPr>
      <w:b/>
      <w:bCs/>
    </w:rPr>
  </w:style>
  <w:style w:type="character" w:customStyle="1" w:styleId="CommentSubjectChar">
    <w:name w:val="Comment Subject Char"/>
    <w:basedOn w:val="CommentTextChar"/>
    <w:link w:val="CommentSubject"/>
    <w:uiPriority w:val="99"/>
    <w:semiHidden/>
    <w:rsid w:val="00570B73"/>
    <w:rPr>
      <w:b/>
      <w:bCs/>
      <w:sz w:val="20"/>
      <w:szCs w:val="20"/>
    </w:rPr>
  </w:style>
  <w:style w:type="table" w:styleId="DarkList">
    <w:name w:val="Dark List"/>
    <w:basedOn w:val="TableNormal"/>
    <w:uiPriority w:val="70"/>
    <w:semiHidden/>
    <w:unhideWhenUsed/>
    <w:rsid w:val="00570B7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70B73"/>
    <w:pPr>
      <w:spacing w:after="0" w:line="240" w:lineRule="auto"/>
    </w:pPr>
    <w:rPr>
      <w:color w:val="FFFFFF" w:themeColor="background1"/>
    </w:rPr>
    <w:tblPr>
      <w:tblStyleRowBandSize w:val="1"/>
      <w:tblStyleColBandSize w:val="1"/>
    </w:tblPr>
    <w:tcPr>
      <w:shd w:val="clear" w:color="auto" w:fill="FCB31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5C0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C8A0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C8A02" w:themeFill="accent1" w:themeFillShade="BF"/>
      </w:tcPr>
    </w:tblStylePr>
    <w:tblStylePr w:type="band1Vert">
      <w:tblPr/>
      <w:tcPr>
        <w:tcBorders>
          <w:top w:val="nil"/>
          <w:left w:val="nil"/>
          <w:bottom w:val="nil"/>
          <w:right w:val="nil"/>
          <w:insideH w:val="nil"/>
          <w:insideV w:val="nil"/>
        </w:tcBorders>
        <w:shd w:val="clear" w:color="auto" w:fill="CC8A02" w:themeFill="accent1" w:themeFillShade="BF"/>
      </w:tcPr>
    </w:tblStylePr>
    <w:tblStylePr w:type="band1Horz">
      <w:tblPr/>
      <w:tcPr>
        <w:tcBorders>
          <w:top w:val="nil"/>
          <w:left w:val="nil"/>
          <w:bottom w:val="nil"/>
          <w:right w:val="nil"/>
          <w:insideH w:val="nil"/>
          <w:insideV w:val="nil"/>
        </w:tcBorders>
        <w:shd w:val="clear" w:color="auto" w:fill="CC8A02" w:themeFill="accent1" w:themeFillShade="BF"/>
      </w:tcPr>
    </w:tblStylePr>
  </w:style>
  <w:style w:type="table" w:styleId="DarkList-Accent2">
    <w:name w:val="Dark List Accent 2"/>
    <w:basedOn w:val="TableNormal"/>
    <w:uiPriority w:val="70"/>
    <w:semiHidden/>
    <w:unhideWhenUsed/>
    <w:rsid w:val="00570B73"/>
    <w:pPr>
      <w:spacing w:after="0" w:line="240" w:lineRule="auto"/>
    </w:pPr>
    <w:rPr>
      <w:color w:val="FFFFFF" w:themeColor="background1"/>
    </w:rPr>
    <w:tblPr>
      <w:tblStyleRowBandSize w:val="1"/>
      <w:tblStyleColBandSize w:val="1"/>
    </w:tblPr>
    <w:tcPr>
      <w:shd w:val="clear" w:color="auto" w:fill="E70E8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074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C0A6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C0A66" w:themeFill="accent2" w:themeFillShade="BF"/>
      </w:tcPr>
    </w:tblStylePr>
    <w:tblStylePr w:type="band1Vert">
      <w:tblPr/>
      <w:tcPr>
        <w:tcBorders>
          <w:top w:val="nil"/>
          <w:left w:val="nil"/>
          <w:bottom w:val="nil"/>
          <w:right w:val="nil"/>
          <w:insideH w:val="nil"/>
          <w:insideV w:val="nil"/>
        </w:tcBorders>
        <w:shd w:val="clear" w:color="auto" w:fill="AC0A66" w:themeFill="accent2" w:themeFillShade="BF"/>
      </w:tcPr>
    </w:tblStylePr>
    <w:tblStylePr w:type="band1Horz">
      <w:tblPr/>
      <w:tcPr>
        <w:tcBorders>
          <w:top w:val="nil"/>
          <w:left w:val="nil"/>
          <w:bottom w:val="nil"/>
          <w:right w:val="nil"/>
          <w:insideH w:val="nil"/>
          <w:insideV w:val="nil"/>
        </w:tcBorders>
        <w:shd w:val="clear" w:color="auto" w:fill="AC0A66" w:themeFill="accent2" w:themeFillShade="BF"/>
      </w:tcPr>
    </w:tblStylePr>
  </w:style>
  <w:style w:type="table" w:styleId="DarkList-Accent3">
    <w:name w:val="Dark List Accent 3"/>
    <w:basedOn w:val="TableNormal"/>
    <w:uiPriority w:val="70"/>
    <w:semiHidden/>
    <w:unhideWhenUsed/>
    <w:rsid w:val="00570B73"/>
    <w:pPr>
      <w:spacing w:after="0" w:line="240" w:lineRule="auto"/>
    </w:pPr>
    <w:rPr>
      <w:color w:val="FFFFFF" w:themeColor="background1"/>
    </w:rPr>
    <w:tblPr>
      <w:tblStyleRowBandSize w:val="1"/>
      <w:tblStyleColBandSize w:val="1"/>
    </w:tblPr>
    <w:tcPr>
      <w:shd w:val="clear" w:color="auto" w:fill="00B3E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8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AA" w:themeFill="accent3" w:themeFillShade="BF"/>
      </w:tcPr>
    </w:tblStylePr>
    <w:tblStylePr w:type="band1Vert">
      <w:tblPr/>
      <w:tcPr>
        <w:tcBorders>
          <w:top w:val="nil"/>
          <w:left w:val="nil"/>
          <w:bottom w:val="nil"/>
          <w:right w:val="nil"/>
          <w:insideH w:val="nil"/>
          <w:insideV w:val="nil"/>
        </w:tcBorders>
        <w:shd w:val="clear" w:color="auto" w:fill="0085AA" w:themeFill="accent3" w:themeFillShade="BF"/>
      </w:tcPr>
    </w:tblStylePr>
    <w:tblStylePr w:type="band1Horz">
      <w:tblPr/>
      <w:tcPr>
        <w:tcBorders>
          <w:top w:val="nil"/>
          <w:left w:val="nil"/>
          <w:bottom w:val="nil"/>
          <w:right w:val="nil"/>
          <w:insideH w:val="nil"/>
          <w:insideV w:val="nil"/>
        </w:tcBorders>
        <w:shd w:val="clear" w:color="auto" w:fill="0085AA" w:themeFill="accent3" w:themeFillShade="BF"/>
      </w:tcPr>
    </w:tblStylePr>
  </w:style>
  <w:style w:type="table" w:styleId="DarkList-Accent4">
    <w:name w:val="Dark List Accent 4"/>
    <w:basedOn w:val="TableNormal"/>
    <w:uiPriority w:val="70"/>
    <w:semiHidden/>
    <w:unhideWhenUsed/>
    <w:rsid w:val="00570B73"/>
    <w:pPr>
      <w:spacing w:after="0" w:line="240" w:lineRule="auto"/>
    </w:pPr>
    <w:rPr>
      <w:color w:val="FFFFFF" w:themeColor="background1"/>
    </w:rPr>
    <w:tblPr>
      <w:tblStyleRowBandSize w:val="1"/>
      <w:tblStyleColBandSize w:val="1"/>
    </w:tblPr>
    <w:tcPr>
      <w:shd w:val="clear" w:color="auto" w:fill="8BC64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64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896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8962D" w:themeFill="accent4" w:themeFillShade="BF"/>
      </w:tcPr>
    </w:tblStylePr>
    <w:tblStylePr w:type="band1Vert">
      <w:tblPr/>
      <w:tcPr>
        <w:tcBorders>
          <w:top w:val="nil"/>
          <w:left w:val="nil"/>
          <w:bottom w:val="nil"/>
          <w:right w:val="nil"/>
          <w:insideH w:val="nil"/>
          <w:insideV w:val="nil"/>
        </w:tcBorders>
        <w:shd w:val="clear" w:color="auto" w:fill="68962D" w:themeFill="accent4" w:themeFillShade="BF"/>
      </w:tcPr>
    </w:tblStylePr>
    <w:tblStylePr w:type="band1Horz">
      <w:tblPr/>
      <w:tcPr>
        <w:tcBorders>
          <w:top w:val="nil"/>
          <w:left w:val="nil"/>
          <w:bottom w:val="nil"/>
          <w:right w:val="nil"/>
          <w:insideH w:val="nil"/>
          <w:insideV w:val="nil"/>
        </w:tcBorders>
        <w:shd w:val="clear" w:color="auto" w:fill="68962D" w:themeFill="accent4" w:themeFillShade="BF"/>
      </w:tcPr>
    </w:tblStylePr>
  </w:style>
  <w:style w:type="table" w:styleId="DarkList-Accent5">
    <w:name w:val="Dark List Accent 5"/>
    <w:basedOn w:val="TableNormal"/>
    <w:uiPriority w:val="70"/>
    <w:semiHidden/>
    <w:unhideWhenUsed/>
    <w:rsid w:val="00570B73"/>
    <w:pPr>
      <w:spacing w:after="0" w:line="240" w:lineRule="auto"/>
    </w:pPr>
    <w:rPr>
      <w:color w:val="FFFFFF" w:themeColor="background1"/>
    </w:rPr>
    <w:tblPr>
      <w:tblStyleRowBandSize w:val="1"/>
      <w:tblStyleColBandSize w:val="1"/>
    </w:tblPr>
    <w:tcPr>
      <w:shd w:val="clear" w:color="auto" w:fill="EF39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80B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D101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D1019" w:themeFill="accent5" w:themeFillShade="BF"/>
      </w:tcPr>
    </w:tblStylePr>
    <w:tblStylePr w:type="band1Vert">
      <w:tblPr/>
      <w:tcPr>
        <w:tcBorders>
          <w:top w:val="nil"/>
          <w:left w:val="nil"/>
          <w:bottom w:val="nil"/>
          <w:right w:val="nil"/>
          <w:insideH w:val="nil"/>
          <w:insideV w:val="nil"/>
        </w:tcBorders>
        <w:shd w:val="clear" w:color="auto" w:fill="CD1019" w:themeFill="accent5" w:themeFillShade="BF"/>
      </w:tcPr>
    </w:tblStylePr>
    <w:tblStylePr w:type="band1Horz">
      <w:tblPr/>
      <w:tcPr>
        <w:tcBorders>
          <w:top w:val="nil"/>
          <w:left w:val="nil"/>
          <w:bottom w:val="nil"/>
          <w:right w:val="nil"/>
          <w:insideH w:val="nil"/>
          <w:insideV w:val="nil"/>
        </w:tcBorders>
        <w:shd w:val="clear" w:color="auto" w:fill="CD1019" w:themeFill="accent5" w:themeFillShade="BF"/>
      </w:tcPr>
    </w:tblStylePr>
  </w:style>
  <w:style w:type="table" w:styleId="DarkList-Accent6">
    <w:name w:val="Dark List Accent 6"/>
    <w:basedOn w:val="TableNormal"/>
    <w:uiPriority w:val="70"/>
    <w:semiHidden/>
    <w:unhideWhenUsed/>
    <w:rsid w:val="00570B73"/>
    <w:pPr>
      <w:spacing w:after="0" w:line="240" w:lineRule="auto"/>
    </w:pPr>
    <w:rPr>
      <w:color w:val="FFFFFF" w:themeColor="background1"/>
    </w:rPr>
    <w:tblPr>
      <w:tblStyleRowBandSize w:val="1"/>
      <w:tblStyleColBandSize w:val="1"/>
    </w:tblPr>
    <w:tcPr>
      <w:shd w:val="clear" w:color="auto" w:fill="FDDB0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6D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A4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A401" w:themeFill="accent6" w:themeFillShade="BF"/>
      </w:tcPr>
    </w:tblStylePr>
    <w:tblStylePr w:type="band1Vert">
      <w:tblPr/>
      <w:tcPr>
        <w:tcBorders>
          <w:top w:val="nil"/>
          <w:left w:val="nil"/>
          <w:bottom w:val="nil"/>
          <w:right w:val="nil"/>
          <w:insideH w:val="nil"/>
          <w:insideV w:val="nil"/>
        </w:tcBorders>
        <w:shd w:val="clear" w:color="auto" w:fill="BEA401" w:themeFill="accent6" w:themeFillShade="BF"/>
      </w:tcPr>
    </w:tblStylePr>
    <w:tblStylePr w:type="band1Horz">
      <w:tblPr/>
      <w:tcPr>
        <w:tcBorders>
          <w:top w:val="nil"/>
          <w:left w:val="nil"/>
          <w:bottom w:val="nil"/>
          <w:right w:val="nil"/>
          <w:insideH w:val="nil"/>
          <w:insideV w:val="nil"/>
        </w:tcBorders>
        <w:shd w:val="clear" w:color="auto" w:fill="BEA401" w:themeFill="accent6" w:themeFillShade="BF"/>
      </w:tcPr>
    </w:tblStylePr>
  </w:style>
  <w:style w:type="paragraph" w:styleId="Date">
    <w:name w:val="Date"/>
    <w:basedOn w:val="Normal"/>
    <w:next w:val="Normal"/>
    <w:link w:val="DateChar"/>
    <w:uiPriority w:val="99"/>
    <w:semiHidden/>
    <w:unhideWhenUsed/>
    <w:rsid w:val="00570B73"/>
  </w:style>
  <w:style w:type="character" w:customStyle="1" w:styleId="DateChar">
    <w:name w:val="Date Char"/>
    <w:basedOn w:val="DefaultParagraphFont"/>
    <w:link w:val="Date"/>
    <w:uiPriority w:val="99"/>
    <w:semiHidden/>
    <w:rsid w:val="00570B73"/>
  </w:style>
  <w:style w:type="paragraph" w:styleId="DocumentMap">
    <w:name w:val="Document Map"/>
    <w:basedOn w:val="Normal"/>
    <w:link w:val="DocumentMapChar"/>
    <w:uiPriority w:val="99"/>
    <w:semiHidden/>
    <w:unhideWhenUsed/>
    <w:rsid w:val="00570B73"/>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70B73"/>
    <w:rPr>
      <w:rFonts w:ascii="Segoe UI" w:hAnsi="Segoe UI" w:cs="Segoe UI"/>
      <w:sz w:val="16"/>
      <w:szCs w:val="16"/>
    </w:rPr>
  </w:style>
  <w:style w:type="paragraph" w:styleId="E-mailSignature">
    <w:name w:val="E-mail Signature"/>
    <w:basedOn w:val="Normal"/>
    <w:link w:val="E-mailSignatureChar"/>
    <w:uiPriority w:val="99"/>
    <w:semiHidden/>
    <w:rsid w:val="00DF0E94"/>
    <w:pPr>
      <w:tabs>
        <w:tab w:val="left" w:pos="425"/>
      </w:tabs>
      <w:spacing w:after="120"/>
    </w:pPr>
    <w:rPr>
      <w:noProof/>
      <w:sz w:val="20"/>
    </w:rPr>
  </w:style>
  <w:style w:type="character" w:customStyle="1" w:styleId="E-mailSignatureChar">
    <w:name w:val="E-mail Signature Char"/>
    <w:basedOn w:val="DefaultParagraphFont"/>
    <w:link w:val="E-mailSignature"/>
    <w:uiPriority w:val="99"/>
    <w:semiHidden/>
    <w:rsid w:val="00DF0E94"/>
    <w:rPr>
      <w:noProof/>
      <w:sz w:val="20"/>
    </w:rPr>
  </w:style>
  <w:style w:type="character" w:styleId="Emphasis">
    <w:name w:val="Emphasis"/>
    <w:basedOn w:val="DefaultParagraphFont"/>
    <w:uiPriority w:val="20"/>
    <w:qFormat/>
    <w:rsid w:val="00570B73"/>
    <w:rPr>
      <w:i/>
      <w:iCs/>
    </w:rPr>
  </w:style>
  <w:style w:type="character" w:styleId="EndnoteReference">
    <w:name w:val="endnote reference"/>
    <w:basedOn w:val="DefaultParagraphFont"/>
    <w:uiPriority w:val="99"/>
    <w:semiHidden/>
    <w:unhideWhenUsed/>
    <w:rsid w:val="00570B73"/>
    <w:rPr>
      <w:vertAlign w:val="superscript"/>
    </w:rPr>
  </w:style>
  <w:style w:type="paragraph" w:styleId="EndnoteText">
    <w:name w:val="endnote text"/>
    <w:basedOn w:val="Normal"/>
    <w:link w:val="EndnoteTextChar"/>
    <w:uiPriority w:val="99"/>
    <w:semiHidden/>
    <w:unhideWhenUsed/>
    <w:rsid w:val="00570B73"/>
    <w:rPr>
      <w:sz w:val="20"/>
      <w:szCs w:val="20"/>
    </w:rPr>
  </w:style>
  <w:style w:type="character" w:customStyle="1" w:styleId="EndnoteTextChar">
    <w:name w:val="Endnote Text Char"/>
    <w:basedOn w:val="DefaultParagraphFont"/>
    <w:link w:val="EndnoteText"/>
    <w:uiPriority w:val="99"/>
    <w:semiHidden/>
    <w:rsid w:val="00570B73"/>
    <w:rPr>
      <w:sz w:val="20"/>
      <w:szCs w:val="20"/>
    </w:rPr>
  </w:style>
  <w:style w:type="paragraph" w:styleId="EnvelopeAddress">
    <w:name w:val="envelope address"/>
    <w:basedOn w:val="Normal"/>
    <w:uiPriority w:val="99"/>
    <w:semiHidden/>
    <w:unhideWhenUsed/>
    <w:rsid w:val="00570B7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70B73"/>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570B73"/>
    <w:rPr>
      <w:color w:val="002060" w:themeColor="followedHyperlink"/>
      <w:u w:val="single"/>
    </w:rPr>
  </w:style>
  <w:style w:type="character" w:styleId="FootnoteReference">
    <w:name w:val="footnote reference"/>
    <w:basedOn w:val="DefaultParagraphFont"/>
    <w:uiPriority w:val="99"/>
    <w:semiHidden/>
    <w:unhideWhenUsed/>
    <w:rsid w:val="00570B73"/>
    <w:rPr>
      <w:vertAlign w:val="superscript"/>
    </w:rPr>
  </w:style>
  <w:style w:type="paragraph" w:styleId="FootnoteText">
    <w:name w:val="footnote text"/>
    <w:basedOn w:val="Normal"/>
    <w:link w:val="FootnoteTextChar"/>
    <w:uiPriority w:val="99"/>
    <w:semiHidden/>
    <w:unhideWhenUsed/>
    <w:rsid w:val="00570B73"/>
    <w:rPr>
      <w:sz w:val="20"/>
      <w:szCs w:val="20"/>
    </w:rPr>
  </w:style>
  <w:style w:type="character" w:customStyle="1" w:styleId="FootnoteTextChar">
    <w:name w:val="Footnote Text Char"/>
    <w:basedOn w:val="DefaultParagraphFont"/>
    <w:link w:val="FootnoteText"/>
    <w:uiPriority w:val="99"/>
    <w:semiHidden/>
    <w:rsid w:val="00570B73"/>
    <w:rPr>
      <w:sz w:val="20"/>
      <w:szCs w:val="20"/>
    </w:rPr>
  </w:style>
  <w:style w:type="table" w:customStyle="1" w:styleId="GridTable1Light1">
    <w:name w:val="Grid Table 1 Light1"/>
    <w:basedOn w:val="TableNormal"/>
    <w:uiPriority w:val="99"/>
    <w:semiHidden/>
    <w:rsid w:val="00570B7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99"/>
    <w:semiHidden/>
    <w:rsid w:val="00570B73"/>
    <w:pPr>
      <w:spacing w:after="0" w:line="240" w:lineRule="auto"/>
    </w:pPr>
    <w:tblPr>
      <w:tblStyleRowBandSize w:val="1"/>
      <w:tblStyleColBandSize w:val="1"/>
      <w:tblBorders>
        <w:top w:val="single" w:sz="4" w:space="0" w:color="FDE0A2" w:themeColor="accent1" w:themeTint="66"/>
        <w:left w:val="single" w:sz="4" w:space="0" w:color="FDE0A2" w:themeColor="accent1" w:themeTint="66"/>
        <w:bottom w:val="single" w:sz="4" w:space="0" w:color="FDE0A2" w:themeColor="accent1" w:themeTint="66"/>
        <w:right w:val="single" w:sz="4" w:space="0" w:color="FDE0A2" w:themeColor="accent1" w:themeTint="66"/>
        <w:insideH w:val="single" w:sz="4" w:space="0" w:color="FDE0A2" w:themeColor="accent1" w:themeTint="66"/>
        <w:insideV w:val="single" w:sz="4" w:space="0" w:color="FDE0A2" w:themeColor="accent1" w:themeTint="66"/>
      </w:tblBorders>
    </w:tblPr>
    <w:tblStylePr w:type="firstRow">
      <w:rPr>
        <w:b/>
        <w:bCs/>
      </w:rPr>
      <w:tblPr/>
      <w:tcPr>
        <w:tcBorders>
          <w:bottom w:val="single" w:sz="12" w:space="0" w:color="FDD074" w:themeColor="accent1" w:themeTint="99"/>
        </w:tcBorders>
      </w:tcPr>
    </w:tblStylePr>
    <w:tblStylePr w:type="lastRow">
      <w:rPr>
        <w:b/>
        <w:bCs/>
      </w:rPr>
      <w:tblPr/>
      <w:tcPr>
        <w:tcBorders>
          <w:top w:val="double" w:sz="2" w:space="0" w:color="FDD074"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99"/>
    <w:semiHidden/>
    <w:rsid w:val="00570B73"/>
    <w:pPr>
      <w:spacing w:after="0" w:line="240" w:lineRule="auto"/>
    </w:pPr>
    <w:tblPr>
      <w:tblStyleRowBandSize w:val="1"/>
      <w:tblStyleColBandSize w:val="1"/>
      <w:tblBorders>
        <w:top w:val="single" w:sz="4" w:space="0" w:color="F99BD0" w:themeColor="accent2" w:themeTint="66"/>
        <w:left w:val="single" w:sz="4" w:space="0" w:color="F99BD0" w:themeColor="accent2" w:themeTint="66"/>
        <w:bottom w:val="single" w:sz="4" w:space="0" w:color="F99BD0" w:themeColor="accent2" w:themeTint="66"/>
        <w:right w:val="single" w:sz="4" w:space="0" w:color="F99BD0" w:themeColor="accent2" w:themeTint="66"/>
        <w:insideH w:val="single" w:sz="4" w:space="0" w:color="F99BD0" w:themeColor="accent2" w:themeTint="66"/>
        <w:insideV w:val="single" w:sz="4" w:space="0" w:color="F99BD0" w:themeColor="accent2" w:themeTint="66"/>
      </w:tblBorders>
    </w:tblPr>
    <w:tblStylePr w:type="firstRow">
      <w:rPr>
        <w:b/>
        <w:bCs/>
      </w:rPr>
      <w:tblPr/>
      <w:tcPr>
        <w:tcBorders>
          <w:bottom w:val="single" w:sz="12" w:space="0" w:color="F669B9" w:themeColor="accent2" w:themeTint="99"/>
        </w:tcBorders>
      </w:tcPr>
    </w:tblStylePr>
    <w:tblStylePr w:type="lastRow">
      <w:rPr>
        <w:b/>
        <w:bCs/>
      </w:rPr>
      <w:tblPr/>
      <w:tcPr>
        <w:tcBorders>
          <w:top w:val="double" w:sz="2" w:space="0" w:color="F669B9"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99"/>
    <w:semiHidden/>
    <w:rsid w:val="00570B73"/>
    <w:pPr>
      <w:spacing w:after="0" w:line="240" w:lineRule="auto"/>
    </w:pPr>
    <w:tblPr>
      <w:tblStyleRowBandSize w:val="1"/>
      <w:tblStyleColBandSize w:val="1"/>
      <w:tblBorders>
        <w:top w:val="single" w:sz="4" w:space="0" w:color="8EE6FF" w:themeColor="accent3" w:themeTint="66"/>
        <w:left w:val="single" w:sz="4" w:space="0" w:color="8EE6FF" w:themeColor="accent3" w:themeTint="66"/>
        <w:bottom w:val="single" w:sz="4" w:space="0" w:color="8EE6FF" w:themeColor="accent3" w:themeTint="66"/>
        <w:right w:val="single" w:sz="4" w:space="0" w:color="8EE6FF" w:themeColor="accent3" w:themeTint="66"/>
        <w:insideH w:val="single" w:sz="4" w:space="0" w:color="8EE6FF" w:themeColor="accent3" w:themeTint="66"/>
        <w:insideV w:val="single" w:sz="4" w:space="0" w:color="8EE6FF" w:themeColor="accent3" w:themeTint="66"/>
      </w:tblBorders>
    </w:tblPr>
    <w:tblStylePr w:type="firstRow">
      <w:rPr>
        <w:b/>
        <w:bCs/>
      </w:rPr>
      <w:tblPr/>
      <w:tcPr>
        <w:tcBorders>
          <w:bottom w:val="single" w:sz="12" w:space="0" w:color="55DAFF" w:themeColor="accent3" w:themeTint="99"/>
        </w:tcBorders>
      </w:tcPr>
    </w:tblStylePr>
    <w:tblStylePr w:type="lastRow">
      <w:rPr>
        <w:b/>
        <w:bCs/>
      </w:rPr>
      <w:tblPr/>
      <w:tcPr>
        <w:tcBorders>
          <w:top w:val="double" w:sz="2" w:space="0" w:color="55DAFF"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99"/>
    <w:semiHidden/>
    <w:rsid w:val="00570B73"/>
    <w:pPr>
      <w:spacing w:after="0" w:line="240" w:lineRule="auto"/>
    </w:pPr>
    <w:tblPr>
      <w:tblStyleRowBandSize w:val="1"/>
      <w:tblStyleColBandSize w:val="1"/>
      <w:tblBorders>
        <w:top w:val="single" w:sz="4" w:space="0" w:color="D0E8B2" w:themeColor="accent4" w:themeTint="66"/>
        <w:left w:val="single" w:sz="4" w:space="0" w:color="D0E8B2" w:themeColor="accent4" w:themeTint="66"/>
        <w:bottom w:val="single" w:sz="4" w:space="0" w:color="D0E8B2" w:themeColor="accent4" w:themeTint="66"/>
        <w:right w:val="single" w:sz="4" w:space="0" w:color="D0E8B2" w:themeColor="accent4" w:themeTint="66"/>
        <w:insideH w:val="single" w:sz="4" w:space="0" w:color="D0E8B2" w:themeColor="accent4" w:themeTint="66"/>
        <w:insideV w:val="single" w:sz="4" w:space="0" w:color="D0E8B2" w:themeColor="accent4" w:themeTint="66"/>
      </w:tblBorders>
    </w:tblPr>
    <w:tblStylePr w:type="firstRow">
      <w:rPr>
        <w:b/>
        <w:bCs/>
      </w:rPr>
      <w:tblPr/>
      <w:tcPr>
        <w:tcBorders>
          <w:bottom w:val="single" w:sz="12" w:space="0" w:color="B9DC8C" w:themeColor="accent4" w:themeTint="99"/>
        </w:tcBorders>
      </w:tcPr>
    </w:tblStylePr>
    <w:tblStylePr w:type="lastRow">
      <w:rPr>
        <w:b/>
        <w:bCs/>
      </w:rPr>
      <w:tblPr/>
      <w:tcPr>
        <w:tcBorders>
          <w:top w:val="double" w:sz="2" w:space="0" w:color="B9DC8C"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99"/>
    <w:semiHidden/>
    <w:rsid w:val="00570B73"/>
    <w:pPr>
      <w:spacing w:after="0" w:line="240" w:lineRule="auto"/>
    </w:pPr>
    <w:tblPr>
      <w:tblStyleRowBandSize w:val="1"/>
      <w:tblStyleColBandSize w:val="1"/>
      <w:tblBorders>
        <w:top w:val="single" w:sz="4" w:space="0" w:color="F8AFB3" w:themeColor="accent5" w:themeTint="66"/>
        <w:left w:val="single" w:sz="4" w:space="0" w:color="F8AFB3" w:themeColor="accent5" w:themeTint="66"/>
        <w:bottom w:val="single" w:sz="4" w:space="0" w:color="F8AFB3" w:themeColor="accent5" w:themeTint="66"/>
        <w:right w:val="single" w:sz="4" w:space="0" w:color="F8AFB3" w:themeColor="accent5" w:themeTint="66"/>
        <w:insideH w:val="single" w:sz="4" w:space="0" w:color="F8AFB3" w:themeColor="accent5" w:themeTint="66"/>
        <w:insideV w:val="single" w:sz="4" w:space="0" w:color="F8AFB3" w:themeColor="accent5" w:themeTint="66"/>
      </w:tblBorders>
    </w:tblPr>
    <w:tblStylePr w:type="firstRow">
      <w:rPr>
        <w:b/>
        <w:bCs/>
      </w:rPr>
      <w:tblPr/>
      <w:tcPr>
        <w:tcBorders>
          <w:bottom w:val="single" w:sz="12" w:space="0" w:color="F5878C" w:themeColor="accent5" w:themeTint="99"/>
        </w:tcBorders>
      </w:tcPr>
    </w:tblStylePr>
    <w:tblStylePr w:type="lastRow">
      <w:rPr>
        <w:b/>
        <w:bCs/>
      </w:rPr>
      <w:tblPr/>
      <w:tcPr>
        <w:tcBorders>
          <w:top w:val="double" w:sz="2" w:space="0" w:color="F5878C"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99"/>
    <w:semiHidden/>
    <w:rsid w:val="00570B73"/>
    <w:pPr>
      <w:spacing w:after="0" w:line="240" w:lineRule="auto"/>
    </w:pPr>
    <w:tblPr>
      <w:tblStyleRowBandSize w:val="1"/>
      <w:tblStyleColBandSize w:val="1"/>
      <w:tblBorders>
        <w:top w:val="single" w:sz="4" w:space="0" w:color="FEF09A" w:themeColor="accent6" w:themeTint="66"/>
        <w:left w:val="single" w:sz="4" w:space="0" w:color="FEF09A" w:themeColor="accent6" w:themeTint="66"/>
        <w:bottom w:val="single" w:sz="4" w:space="0" w:color="FEF09A" w:themeColor="accent6" w:themeTint="66"/>
        <w:right w:val="single" w:sz="4" w:space="0" w:color="FEF09A" w:themeColor="accent6" w:themeTint="66"/>
        <w:insideH w:val="single" w:sz="4" w:space="0" w:color="FEF09A" w:themeColor="accent6" w:themeTint="66"/>
        <w:insideV w:val="single" w:sz="4" w:space="0" w:color="FEF09A" w:themeColor="accent6" w:themeTint="66"/>
      </w:tblBorders>
    </w:tblPr>
    <w:tblStylePr w:type="firstRow">
      <w:rPr>
        <w:b/>
        <w:bCs/>
      </w:rPr>
      <w:tblPr/>
      <w:tcPr>
        <w:tcBorders>
          <w:bottom w:val="single" w:sz="12" w:space="0" w:color="FDE967" w:themeColor="accent6" w:themeTint="99"/>
        </w:tcBorders>
      </w:tcPr>
    </w:tblStylePr>
    <w:tblStylePr w:type="lastRow">
      <w:rPr>
        <w:b/>
        <w:bCs/>
      </w:rPr>
      <w:tblPr/>
      <w:tcPr>
        <w:tcBorders>
          <w:top w:val="double" w:sz="2" w:space="0" w:color="FDE967"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99"/>
    <w:semiHidden/>
    <w:rsid w:val="00570B7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99"/>
    <w:semiHidden/>
    <w:rsid w:val="00570B73"/>
    <w:pPr>
      <w:spacing w:after="0" w:line="240" w:lineRule="auto"/>
    </w:pPr>
    <w:tblPr>
      <w:tblStyleRowBandSize w:val="1"/>
      <w:tblStyleColBandSize w:val="1"/>
      <w:tblBorders>
        <w:top w:val="single" w:sz="2" w:space="0" w:color="FDD074" w:themeColor="accent1" w:themeTint="99"/>
        <w:bottom w:val="single" w:sz="2" w:space="0" w:color="FDD074" w:themeColor="accent1" w:themeTint="99"/>
        <w:insideH w:val="single" w:sz="2" w:space="0" w:color="FDD074" w:themeColor="accent1" w:themeTint="99"/>
        <w:insideV w:val="single" w:sz="2" w:space="0" w:color="FDD074" w:themeColor="accent1" w:themeTint="99"/>
      </w:tblBorders>
    </w:tblPr>
    <w:tblStylePr w:type="firstRow">
      <w:rPr>
        <w:b/>
        <w:bCs/>
      </w:rPr>
      <w:tblPr/>
      <w:tcPr>
        <w:tcBorders>
          <w:top w:val="nil"/>
          <w:bottom w:val="single" w:sz="12" w:space="0" w:color="FDD074" w:themeColor="accent1" w:themeTint="99"/>
          <w:insideH w:val="nil"/>
          <w:insideV w:val="nil"/>
        </w:tcBorders>
        <w:shd w:val="clear" w:color="auto" w:fill="FFFFFF" w:themeFill="background1"/>
      </w:tcPr>
    </w:tblStylePr>
    <w:tblStylePr w:type="lastRow">
      <w:rPr>
        <w:b/>
        <w:bCs/>
      </w:rPr>
      <w:tblPr/>
      <w:tcPr>
        <w:tcBorders>
          <w:top w:val="double" w:sz="2" w:space="0" w:color="FDD07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FD0" w:themeFill="accent1" w:themeFillTint="33"/>
      </w:tcPr>
    </w:tblStylePr>
    <w:tblStylePr w:type="band1Horz">
      <w:tblPr/>
      <w:tcPr>
        <w:shd w:val="clear" w:color="auto" w:fill="FEEFD0" w:themeFill="accent1" w:themeFillTint="33"/>
      </w:tcPr>
    </w:tblStylePr>
  </w:style>
  <w:style w:type="table" w:customStyle="1" w:styleId="GridTable2-Accent21">
    <w:name w:val="Grid Table 2 - Accent 21"/>
    <w:basedOn w:val="TableNormal"/>
    <w:uiPriority w:val="99"/>
    <w:semiHidden/>
    <w:rsid w:val="00570B73"/>
    <w:pPr>
      <w:spacing w:after="0" w:line="240" w:lineRule="auto"/>
    </w:pPr>
    <w:tblPr>
      <w:tblStyleRowBandSize w:val="1"/>
      <w:tblStyleColBandSize w:val="1"/>
      <w:tblBorders>
        <w:top w:val="single" w:sz="2" w:space="0" w:color="F669B9" w:themeColor="accent2" w:themeTint="99"/>
        <w:bottom w:val="single" w:sz="2" w:space="0" w:color="F669B9" w:themeColor="accent2" w:themeTint="99"/>
        <w:insideH w:val="single" w:sz="2" w:space="0" w:color="F669B9" w:themeColor="accent2" w:themeTint="99"/>
        <w:insideV w:val="single" w:sz="2" w:space="0" w:color="F669B9" w:themeColor="accent2" w:themeTint="99"/>
      </w:tblBorders>
    </w:tblPr>
    <w:tblStylePr w:type="firstRow">
      <w:rPr>
        <w:b/>
        <w:bCs/>
      </w:rPr>
      <w:tblPr/>
      <w:tcPr>
        <w:tcBorders>
          <w:top w:val="nil"/>
          <w:bottom w:val="single" w:sz="12" w:space="0" w:color="F669B9" w:themeColor="accent2" w:themeTint="99"/>
          <w:insideH w:val="nil"/>
          <w:insideV w:val="nil"/>
        </w:tcBorders>
        <w:shd w:val="clear" w:color="auto" w:fill="FFFFFF" w:themeFill="background1"/>
      </w:tcPr>
    </w:tblStylePr>
    <w:tblStylePr w:type="lastRow">
      <w:rPr>
        <w:b/>
        <w:bCs/>
      </w:rPr>
      <w:tblPr/>
      <w:tcPr>
        <w:tcBorders>
          <w:top w:val="double" w:sz="2" w:space="0" w:color="F669B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CDE7" w:themeFill="accent2" w:themeFillTint="33"/>
      </w:tcPr>
    </w:tblStylePr>
    <w:tblStylePr w:type="band1Horz">
      <w:tblPr/>
      <w:tcPr>
        <w:shd w:val="clear" w:color="auto" w:fill="FCCDE7" w:themeFill="accent2" w:themeFillTint="33"/>
      </w:tcPr>
    </w:tblStylePr>
  </w:style>
  <w:style w:type="table" w:customStyle="1" w:styleId="GridTable2-Accent31">
    <w:name w:val="Grid Table 2 - Accent 31"/>
    <w:basedOn w:val="TableNormal"/>
    <w:uiPriority w:val="99"/>
    <w:semiHidden/>
    <w:rsid w:val="00570B73"/>
    <w:pPr>
      <w:spacing w:after="0" w:line="240" w:lineRule="auto"/>
    </w:pPr>
    <w:tblPr>
      <w:tblStyleRowBandSize w:val="1"/>
      <w:tblStyleColBandSize w:val="1"/>
      <w:tblBorders>
        <w:top w:val="single" w:sz="2" w:space="0" w:color="55DAFF" w:themeColor="accent3" w:themeTint="99"/>
        <w:bottom w:val="single" w:sz="2" w:space="0" w:color="55DAFF" w:themeColor="accent3" w:themeTint="99"/>
        <w:insideH w:val="single" w:sz="2" w:space="0" w:color="55DAFF" w:themeColor="accent3" w:themeTint="99"/>
        <w:insideV w:val="single" w:sz="2" w:space="0" w:color="55DAFF" w:themeColor="accent3" w:themeTint="99"/>
      </w:tblBorders>
    </w:tblPr>
    <w:tblStylePr w:type="firstRow">
      <w:rPr>
        <w:b/>
        <w:bCs/>
      </w:rPr>
      <w:tblPr/>
      <w:tcPr>
        <w:tcBorders>
          <w:top w:val="nil"/>
          <w:bottom w:val="single" w:sz="12" w:space="0" w:color="55DAFF" w:themeColor="accent3" w:themeTint="99"/>
          <w:insideH w:val="nil"/>
          <w:insideV w:val="nil"/>
        </w:tcBorders>
        <w:shd w:val="clear" w:color="auto" w:fill="FFFFFF" w:themeFill="background1"/>
      </w:tcPr>
    </w:tblStylePr>
    <w:tblStylePr w:type="lastRow">
      <w:rPr>
        <w:b/>
        <w:bCs/>
      </w:rPr>
      <w:tblPr/>
      <w:tcPr>
        <w:tcBorders>
          <w:top w:val="double" w:sz="2" w:space="0" w:color="55DA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F2FF" w:themeFill="accent3" w:themeFillTint="33"/>
      </w:tcPr>
    </w:tblStylePr>
    <w:tblStylePr w:type="band1Horz">
      <w:tblPr/>
      <w:tcPr>
        <w:shd w:val="clear" w:color="auto" w:fill="C6F2FF" w:themeFill="accent3" w:themeFillTint="33"/>
      </w:tcPr>
    </w:tblStylePr>
  </w:style>
  <w:style w:type="table" w:customStyle="1" w:styleId="GridTable2-Accent41">
    <w:name w:val="Grid Table 2 - Accent 41"/>
    <w:basedOn w:val="TableNormal"/>
    <w:uiPriority w:val="99"/>
    <w:semiHidden/>
    <w:rsid w:val="00570B73"/>
    <w:pPr>
      <w:spacing w:after="0" w:line="240" w:lineRule="auto"/>
    </w:pPr>
    <w:tblPr>
      <w:tblStyleRowBandSize w:val="1"/>
      <w:tblStyleColBandSize w:val="1"/>
      <w:tblBorders>
        <w:top w:val="single" w:sz="2" w:space="0" w:color="B9DC8C" w:themeColor="accent4" w:themeTint="99"/>
        <w:bottom w:val="single" w:sz="2" w:space="0" w:color="B9DC8C" w:themeColor="accent4" w:themeTint="99"/>
        <w:insideH w:val="single" w:sz="2" w:space="0" w:color="B9DC8C" w:themeColor="accent4" w:themeTint="99"/>
        <w:insideV w:val="single" w:sz="2" w:space="0" w:color="B9DC8C" w:themeColor="accent4" w:themeTint="99"/>
      </w:tblBorders>
    </w:tblPr>
    <w:tblStylePr w:type="firstRow">
      <w:rPr>
        <w:b/>
        <w:bCs/>
      </w:rPr>
      <w:tblPr/>
      <w:tcPr>
        <w:tcBorders>
          <w:top w:val="nil"/>
          <w:bottom w:val="single" w:sz="12" w:space="0" w:color="B9DC8C" w:themeColor="accent4" w:themeTint="99"/>
          <w:insideH w:val="nil"/>
          <w:insideV w:val="nil"/>
        </w:tcBorders>
        <w:shd w:val="clear" w:color="auto" w:fill="FFFFFF" w:themeFill="background1"/>
      </w:tcPr>
    </w:tblStylePr>
    <w:tblStylePr w:type="lastRow">
      <w:rPr>
        <w:b/>
        <w:bCs/>
      </w:rPr>
      <w:tblPr/>
      <w:tcPr>
        <w:tcBorders>
          <w:top w:val="double" w:sz="2" w:space="0" w:color="B9DC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3D8" w:themeFill="accent4" w:themeFillTint="33"/>
      </w:tcPr>
    </w:tblStylePr>
    <w:tblStylePr w:type="band1Horz">
      <w:tblPr/>
      <w:tcPr>
        <w:shd w:val="clear" w:color="auto" w:fill="E7F3D8" w:themeFill="accent4" w:themeFillTint="33"/>
      </w:tcPr>
    </w:tblStylePr>
  </w:style>
  <w:style w:type="table" w:customStyle="1" w:styleId="GridTable2-Accent51">
    <w:name w:val="Grid Table 2 - Accent 51"/>
    <w:basedOn w:val="TableNormal"/>
    <w:uiPriority w:val="99"/>
    <w:semiHidden/>
    <w:rsid w:val="00570B73"/>
    <w:pPr>
      <w:spacing w:after="0" w:line="240" w:lineRule="auto"/>
    </w:pPr>
    <w:tblPr>
      <w:tblStyleRowBandSize w:val="1"/>
      <w:tblStyleColBandSize w:val="1"/>
      <w:tblBorders>
        <w:top w:val="single" w:sz="2" w:space="0" w:color="F5878C" w:themeColor="accent5" w:themeTint="99"/>
        <w:bottom w:val="single" w:sz="2" w:space="0" w:color="F5878C" w:themeColor="accent5" w:themeTint="99"/>
        <w:insideH w:val="single" w:sz="2" w:space="0" w:color="F5878C" w:themeColor="accent5" w:themeTint="99"/>
        <w:insideV w:val="single" w:sz="2" w:space="0" w:color="F5878C" w:themeColor="accent5" w:themeTint="99"/>
      </w:tblBorders>
    </w:tblPr>
    <w:tblStylePr w:type="firstRow">
      <w:rPr>
        <w:b/>
        <w:bCs/>
      </w:rPr>
      <w:tblPr/>
      <w:tcPr>
        <w:tcBorders>
          <w:top w:val="nil"/>
          <w:bottom w:val="single" w:sz="12" w:space="0" w:color="F5878C" w:themeColor="accent5" w:themeTint="99"/>
          <w:insideH w:val="nil"/>
          <w:insideV w:val="nil"/>
        </w:tcBorders>
        <w:shd w:val="clear" w:color="auto" w:fill="FFFFFF" w:themeFill="background1"/>
      </w:tcPr>
    </w:tblStylePr>
    <w:tblStylePr w:type="lastRow">
      <w:rPr>
        <w:b/>
        <w:bCs/>
      </w:rPr>
      <w:tblPr/>
      <w:tcPr>
        <w:tcBorders>
          <w:top w:val="double" w:sz="2" w:space="0" w:color="F5878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7D8" w:themeFill="accent5" w:themeFillTint="33"/>
      </w:tcPr>
    </w:tblStylePr>
    <w:tblStylePr w:type="band1Horz">
      <w:tblPr/>
      <w:tcPr>
        <w:shd w:val="clear" w:color="auto" w:fill="FBD7D8" w:themeFill="accent5" w:themeFillTint="33"/>
      </w:tcPr>
    </w:tblStylePr>
  </w:style>
  <w:style w:type="table" w:customStyle="1" w:styleId="GridTable2-Accent61">
    <w:name w:val="Grid Table 2 - Accent 61"/>
    <w:basedOn w:val="TableNormal"/>
    <w:uiPriority w:val="99"/>
    <w:semiHidden/>
    <w:rsid w:val="00570B73"/>
    <w:pPr>
      <w:spacing w:after="0" w:line="240" w:lineRule="auto"/>
    </w:pPr>
    <w:tblPr>
      <w:tblStyleRowBandSize w:val="1"/>
      <w:tblStyleColBandSize w:val="1"/>
      <w:tblBorders>
        <w:top w:val="single" w:sz="2" w:space="0" w:color="FDE967" w:themeColor="accent6" w:themeTint="99"/>
        <w:bottom w:val="single" w:sz="2" w:space="0" w:color="FDE967" w:themeColor="accent6" w:themeTint="99"/>
        <w:insideH w:val="single" w:sz="2" w:space="0" w:color="FDE967" w:themeColor="accent6" w:themeTint="99"/>
        <w:insideV w:val="single" w:sz="2" w:space="0" w:color="FDE967" w:themeColor="accent6" w:themeTint="99"/>
      </w:tblBorders>
    </w:tblPr>
    <w:tblStylePr w:type="firstRow">
      <w:rPr>
        <w:b/>
        <w:bCs/>
      </w:rPr>
      <w:tblPr/>
      <w:tcPr>
        <w:tcBorders>
          <w:top w:val="nil"/>
          <w:bottom w:val="single" w:sz="12" w:space="0" w:color="FDE967" w:themeColor="accent6" w:themeTint="99"/>
          <w:insideH w:val="nil"/>
          <w:insideV w:val="nil"/>
        </w:tcBorders>
        <w:shd w:val="clear" w:color="auto" w:fill="FFFFFF" w:themeFill="background1"/>
      </w:tcPr>
    </w:tblStylePr>
    <w:tblStylePr w:type="lastRow">
      <w:rPr>
        <w:b/>
        <w:bCs/>
      </w:rPr>
      <w:tblPr/>
      <w:tcPr>
        <w:tcBorders>
          <w:top w:val="double" w:sz="2" w:space="0" w:color="FDE96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7CC" w:themeFill="accent6" w:themeFillTint="33"/>
      </w:tcPr>
    </w:tblStylePr>
    <w:tblStylePr w:type="band1Horz">
      <w:tblPr/>
      <w:tcPr>
        <w:shd w:val="clear" w:color="auto" w:fill="FEF7CC" w:themeFill="accent6" w:themeFillTint="33"/>
      </w:tcPr>
    </w:tblStylePr>
  </w:style>
  <w:style w:type="table" w:customStyle="1" w:styleId="GridTable31">
    <w:name w:val="Grid Table 31"/>
    <w:basedOn w:val="TableNormal"/>
    <w:uiPriority w:val="99"/>
    <w:semiHidden/>
    <w:rsid w:val="00570B7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99"/>
    <w:semiHidden/>
    <w:rsid w:val="00570B73"/>
    <w:pPr>
      <w:spacing w:after="0" w:line="240" w:lineRule="auto"/>
    </w:pPr>
    <w:tblPr>
      <w:tblStyleRowBandSize w:val="1"/>
      <w:tblStyleColBandSize w:val="1"/>
      <w:tblBorders>
        <w:top w:val="single" w:sz="4" w:space="0" w:color="FDD074" w:themeColor="accent1" w:themeTint="99"/>
        <w:left w:val="single" w:sz="4" w:space="0" w:color="FDD074" w:themeColor="accent1" w:themeTint="99"/>
        <w:bottom w:val="single" w:sz="4" w:space="0" w:color="FDD074" w:themeColor="accent1" w:themeTint="99"/>
        <w:right w:val="single" w:sz="4" w:space="0" w:color="FDD074" w:themeColor="accent1" w:themeTint="99"/>
        <w:insideH w:val="single" w:sz="4" w:space="0" w:color="FDD074" w:themeColor="accent1" w:themeTint="99"/>
        <w:insideV w:val="single" w:sz="4" w:space="0" w:color="FDD07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FD0" w:themeFill="accent1" w:themeFillTint="33"/>
      </w:tcPr>
    </w:tblStylePr>
    <w:tblStylePr w:type="band1Horz">
      <w:tblPr/>
      <w:tcPr>
        <w:shd w:val="clear" w:color="auto" w:fill="FEEFD0" w:themeFill="accent1" w:themeFillTint="33"/>
      </w:tcPr>
    </w:tblStylePr>
    <w:tblStylePr w:type="neCell">
      <w:tblPr/>
      <w:tcPr>
        <w:tcBorders>
          <w:bottom w:val="single" w:sz="4" w:space="0" w:color="FDD074" w:themeColor="accent1" w:themeTint="99"/>
        </w:tcBorders>
      </w:tcPr>
    </w:tblStylePr>
    <w:tblStylePr w:type="nwCell">
      <w:tblPr/>
      <w:tcPr>
        <w:tcBorders>
          <w:bottom w:val="single" w:sz="4" w:space="0" w:color="FDD074" w:themeColor="accent1" w:themeTint="99"/>
        </w:tcBorders>
      </w:tcPr>
    </w:tblStylePr>
    <w:tblStylePr w:type="seCell">
      <w:tblPr/>
      <w:tcPr>
        <w:tcBorders>
          <w:top w:val="single" w:sz="4" w:space="0" w:color="FDD074" w:themeColor="accent1" w:themeTint="99"/>
        </w:tcBorders>
      </w:tcPr>
    </w:tblStylePr>
    <w:tblStylePr w:type="swCell">
      <w:tblPr/>
      <w:tcPr>
        <w:tcBorders>
          <w:top w:val="single" w:sz="4" w:space="0" w:color="FDD074" w:themeColor="accent1" w:themeTint="99"/>
        </w:tcBorders>
      </w:tcPr>
    </w:tblStylePr>
  </w:style>
  <w:style w:type="table" w:customStyle="1" w:styleId="GridTable3-Accent21">
    <w:name w:val="Grid Table 3 - Accent 21"/>
    <w:basedOn w:val="TableNormal"/>
    <w:uiPriority w:val="99"/>
    <w:semiHidden/>
    <w:rsid w:val="00570B73"/>
    <w:pPr>
      <w:spacing w:after="0" w:line="240" w:lineRule="auto"/>
    </w:pPr>
    <w:tblPr>
      <w:tblStyleRowBandSize w:val="1"/>
      <w:tblStyleColBandSize w:val="1"/>
      <w:tblBorders>
        <w:top w:val="single" w:sz="4" w:space="0" w:color="F669B9" w:themeColor="accent2" w:themeTint="99"/>
        <w:left w:val="single" w:sz="4" w:space="0" w:color="F669B9" w:themeColor="accent2" w:themeTint="99"/>
        <w:bottom w:val="single" w:sz="4" w:space="0" w:color="F669B9" w:themeColor="accent2" w:themeTint="99"/>
        <w:right w:val="single" w:sz="4" w:space="0" w:color="F669B9" w:themeColor="accent2" w:themeTint="99"/>
        <w:insideH w:val="single" w:sz="4" w:space="0" w:color="F669B9" w:themeColor="accent2" w:themeTint="99"/>
        <w:insideV w:val="single" w:sz="4" w:space="0" w:color="F669B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CDE7" w:themeFill="accent2" w:themeFillTint="33"/>
      </w:tcPr>
    </w:tblStylePr>
    <w:tblStylePr w:type="band1Horz">
      <w:tblPr/>
      <w:tcPr>
        <w:shd w:val="clear" w:color="auto" w:fill="FCCDE7" w:themeFill="accent2" w:themeFillTint="33"/>
      </w:tcPr>
    </w:tblStylePr>
    <w:tblStylePr w:type="neCell">
      <w:tblPr/>
      <w:tcPr>
        <w:tcBorders>
          <w:bottom w:val="single" w:sz="4" w:space="0" w:color="F669B9" w:themeColor="accent2" w:themeTint="99"/>
        </w:tcBorders>
      </w:tcPr>
    </w:tblStylePr>
    <w:tblStylePr w:type="nwCell">
      <w:tblPr/>
      <w:tcPr>
        <w:tcBorders>
          <w:bottom w:val="single" w:sz="4" w:space="0" w:color="F669B9" w:themeColor="accent2" w:themeTint="99"/>
        </w:tcBorders>
      </w:tcPr>
    </w:tblStylePr>
    <w:tblStylePr w:type="seCell">
      <w:tblPr/>
      <w:tcPr>
        <w:tcBorders>
          <w:top w:val="single" w:sz="4" w:space="0" w:color="F669B9" w:themeColor="accent2" w:themeTint="99"/>
        </w:tcBorders>
      </w:tcPr>
    </w:tblStylePr>
    <w:tblStylePr w:type="swCell">
      <w:tblPr/>
      <w:tcPr>
        <w:tcBorders>
          <w:top w:val="single" w:sz="4" w:space="0" w:color="F669B9" w:themeColor="accent2" w:themeTint="99"/>
        </w:tcBorders>
      </w:tcPr>
    </w:tblStylePr>
  </w:style>
  <w:style w:type="table" w:customStyle="1" w:styleId="GridTable3-Accent31">
    <w:name w:val="Grid Table 3 - Accent 31"/>
    <w:basedOn w:val="TableNormal"/>
    <w:uiPriority w:val="99"/>
    <w:semiHidden/>
    <w:rsid w:val="00570B73"/>
    <w:pPr>
      <w:spacing w:after="0" w:line="240" w:lineRule="auto"/>
    </w:pPr>
    <w:tblPr>
      <w:tblStyleRowBandSize w:val="1"/>
      <w:tblStyleColBandSize w:val="1"/>
      <w:tblBorders>
        <w:top w:val="single" w:sz="4" w:space="0" w:color="55DAFF" w:themeColor="accent3" w:themeTint="99"/>
        <w:left w:val="single" w:sz="4" w:space="0" w:color="55DAFF" w:themeColor="accent3" w:themeTint="99"/>
        <w:bottom w:val="single" w:sz="4" w:space="0" w:color="55DAFF" w:themeColor="accent3" w:themeTint="99"/>
        <w:right w:val="single" w:sz="4" w:space="0" w:color="55DAFF" w:themeColor="accent3" w:themeTint="99"/>
        <w:insideH w:val="single" w:sz="4" w:space="0" w:color="55DAFF" w:themeColor="accent3" w:themeTint="99"/>
        <w:insideV w:val="single" w:sz="4" w:space="0" w:color="55DA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2FF" w:themeFill="accent3" w:themeFillTint="33"/>
      </w:tcPr>
    </w:tblStylePr>
    <w:tblStylePr w:type="band1Horz">
      <w:tblPr/>
      <w:tcPr>
        <w:shd w:val="clear" w:color="auto" w:fill="C6F2FF" w:themeFill="accent3" w:themeFillTint="33"/>
      </w:tcPr>
    </w:tblStylePr>
    <w:tblStylePr w:type="neCell">
      <w:tblPr/>
      <w:tcPr>
        <w:tcBorders>
          <w:bottom w:val="single" w:sz="4" w:space="0" w:color="55DAFF" w:themeColor="accent3" w:themeTint="99"/>
        </w:tcBorders>
      </w:tcPr>
    </w:tblStylePr>
    <w:tblStylePr w:type="nwCell">
      <w:tblPr/>
      <w:tcPr>
        <w:tcBorders>
          <w:bottom w:val="single" w:sz="4" w:space="0" w:color="55DAFF" w:themeColor="accent3" w:themeTint="99"/>
        </w:tcBorders>
      </w:tcPr>
    </w:tblStylePr>
    <w:tblStylePr w:type="seCell">
      <w:tblPr/>
      <w:tcPr>
        <w:tcBorders>
          <w:top w:val="single" w:sz="4" w:space="0" w:color="55DAFF" w:themeColor="accent3" w:themeTint="99"/>
        </w:tcBorders>
      </w:tcPr>
    </w:tblStylePr>
    <w:tblStylePr w:type="swCell">
      <w:tblPr/>
      <w:tcPr>
        <w:tcBorders>
          <w:top w:val="single" w:sz="4" w:space="0" w:color="55DAFF" w:themeColor="accent3" w:themeTint="99"/>
        </w:tcBorders>
      </w:tcPr>
    </w:tblStylePr>
  </w:style>
  <w:style w:type="table" w:customStyle="1" w:styleId="GridTable3-Accent41">
    <w:name w:val="Grid Table 3 - Accent 41"/>
    <w:basedOn w:val="TableNormal"/>
    <w:uiPriority w:val="99"/>
    <w:semiHidden/>
    <w:rsid w:val="00570B73"/>
    <w:pPr>
      <w:spacing w:after="0" w:line="240" w:lineRule="auto"/>
    </w:pPr>
    <w:tblPr>
      <w:tblStyleRowBandSize w:val="1"/>
      <w:tblStyleColBandSize w:val="1"/>
      <w:tblBorders>
        <w:top w:val="single" w:sz="4" w:space="0" w:color="B9DC8C" w:themeColor="accent4" w:themeTint="99"/>
        <w:left w:val="single" w:sz="4" w:space="0" w:color="B9DC8C" w:themeColor="accent4" w:themeTint="99"/>
        <w:bottom w:val="single" w:sz="4" w:space="0" w:color="B9DC8C" w:themeColor="accent4" w:themeTint="99"/>
        <w:right w:val="single" w:sz="4" w:space="0" w:color="B9DC8C" w:themeColor="accent4" w:themeTint="99"/>
        <w:insideH w:val="single" w:sz="4" w:space="0" w:color="B9DC8C" w:themeColor="accent4" w:themeTint="99"/>
        <w:insideV w:val="single" w:sz="4" w:space="0" w:color="B9DC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3D8" w:themeFill="accent4" w:themeFillTint="33"/>
      </w:tcPr>
    </w:tblStylePr>
    <w:tblStylePr w:type="band1Horz">
      <w:tblPr/>
      <w:tcPr>
        <w:shd w:val="clear" w:color="auto" w:fill="E7F3D8" w:themeFill="accent4" w:themeFillTint="33"/>
      </w:tcPr>
    </w:tblStylePr>
    <w:tblStylePr w:type="neCell">
      <w:tblPr/>
      <w:tcPr>
        <w:tcBorders>
          <w:bottom w:val="single" w:sz="4" w:space="0" w:color="B9DC8C" w:themeColor="accent4" w:themeTint="99"/>
        </w:tcBorders>
      </w:tcPr>
    </w:tblStylePr>
    <w:tblStylePr w:type="nwCell">
      <w:tblPr/>
      <w:tcPr>
        <w:tcBorders>
          <w:bottom w:val="single" w:sz="4" w:space="0" w:color="B9DC8C" w:themeColor="accent4" w:themeTint="99"/>
        </w:tcBorders>
      </w:tcPr>
    </w:tblStylePr>
    <w:tblStylePr w:type="seCell">
      <w:tblPr/>
      <w:tcPr>
        <w:tcBorders>
          <w:top w:val="single" w:sz="4" w:space="0" w:color="B9DC8C" w:themeColor="accent4" w:themeTint="99"/>
        </w:tcBorders>
      </w:tcPr>
    </w:tblStylePr>
    <w:tblStylePr w:type="swCell">
      <w:tblPr/>
      <w:tcPr>
        <w:tcBorders>
          <w:top w:val="single" w:sz="4" w:space="0" w:color="B9DC8C" w:themeColor="accent4" w:themeTint="99"/>
        </w:tcBorders>
      </w:tcPr>
    </w:tblStylePr>
  </w:style>
  <w:style w:type="table" w:customStyle="1" w:styleId="GridTable3-Accent51">
    <w:name w:val="Grid Table 3 - Accent 51"/>
    <w:basedOn w:val="TableNormal"/>
    <w:uiPriority w:val="99"/>
    <w:semiHidden/>
    <w:rsid w:val="00570B73"/>
    <w:pPr>
      <w:spacing w:after="0" w:line="240" w:lineRule="auto"/>
    </w:pPr>
    <w:tblPr>
      <w:tblStyleRowBandSize w:val="1"/>
      <w:tblStyleColBandSize w:val="1"/>
      <w:tblBorders>
        <w:top w:val="single" w:sz="4" w:space="0" w:color="F5878C" w:themeColor="accent5" w:themeTint="99"/>
        <w:left w:val="single" w:sz="4" w:space="0" w:color="F5878C" w:themeColor="accent5" w:themeTint="99"/>
        <w:bottom w:val="single" w:sz="4" w:space="0" w:color="F5878C" w:themeColor="accent5" w:themeTint="99"/>
        <w:right w:val="single" w:sz="4" w:space="0" w:color="F5878C" w:themeColor="accent5" w:themeTint="99"/>
        <w:insideH w:val="single" w:sz="4" w:space="0" w:color="F5878C" w:themeColor="accent5" w:themeTint="99"/>
        <w:insideV w:val="single" w:sz="4" w:space="0" w:color="F5878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7D8" w:themeFill="accent5" w:themeFillTint="33"/>
      </w:tcPr>
    </w:tblStylePr>
    <w:tblStylePr w:type="band1Horz">
      <w:tblPr/>
      <w:tcPr>
        <w:shd w:val="clear" w:color="auto" w:fill="FBD7D8" w:themeFill="accent5" w:themeFillTint="33"/>
      </w:tcPr>
    </w:tblStylePr>
    <w:tblStylePr w:type="neCell">
      <w:tblPr/>
      <w:tcPr>
        <w:tcBorders>
          <w:bottom w:val="single" w:sz="4" w:space="0" w:color="F5878C" w:themeColor="accent5" w:themeTint="99"/>
        </w:tcBorders>
      </w:tcPr>
    </w:tblStylePr>
    <w:tblStylePr w:type="nwCell">
      <w:tblPr/>
      <w:tcPr>
        <w:tcBorders>
          <w:bottom w:val="single" w:sz="4" w:space="0" w:color="F5878C" w:themeColor="accent5" w:themeTint="99"/>
        </w:tcBorders>
      </w:tcPr>
    </w:tblStylePr>
    <w:tblStylePr w:type="seCell">
      <w:tblPr/>
      <w:tcPr>
        <w:tcBorders>
          <w:top w:val="single" w:sz="4" w:space="0" w:color="F5878C" w:themeColor="accent5" w:themeTint="99"/>
        </w:tcBorders>
      </w:tcPr>
    </w:tblStylePr>
    <w:tblStylePr w:type="swCell">
      <w:tblPr/>
      <w:tcPr>
        <w:tcBorders>
          <w:top w:val="single" w:sz="4" w:space="0" w:color="F5878C" w:themeColor="accent5" w:themeTint="99"/>
        </w:tcBorders>
      </w:tcPr>
    </w:tblStylePr>
  </w:style>
  <w:style w:type="table" w:customStyle="1" w:styleId="GridTable3-Accent61">
    <w:name w:val="Grid Table 3 - Accent 61"/>
    <w:basedOn w:val="TableNormal"/>
    <w:uiPriority w:val="99"/>
    <w:semiHidden/>
    <w:rsid w:val="00570B73"/>
    <w:pPr>
      <w:spacing w:after="0" w:line="240" w:lineRule="auto"/>
    </w:pPr>
    <w:tblPr>
      <w:tblStyleRowBandSize w:val="1"/>
      <w:tblStyleColBandSize w:val="1"/>
      <w:tblBorders>
        <w:top w:val="single" w:sz="4" w:space="0" w:color="FDE967" w:themeColor="accent6" w:themeTint="99"/>
        <w:left w:val="single" w:sz="4" w:space="0" w:color="FDE967" w:themeColor="accent6" w:themeTint="99"/>
        <w:bottom w:val="single" w:sz="4" w:space="0" w:color="FDE967" w:themeColor="accent6" w:themeTint="99"/>
        <w:right w:val="single" w:sz="4" w:space="0" w:color="FDE967" w:themeColor="accent6" w:themeTint="99"/>
        <w:insideH w:val="single" w:sz="4" w:space="0" w:color="FDE967" w:themeColor="accent6" w:themeTint="99"/>
        <w:insideV w:val="single" w:sz="4" w:space="0" w:color="FDE96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6" w:themeFillTint="33"/>
      </w:tcPr>
    </w:tblStylePr>
    <w:tblStylePr w:type="band1Horz">
      <w:tblPr/>
      <w:tcPr>
        <w:shd w:val="clear" w:color="auto" w:fill="FEF7CC" w:themeFill="accent6" w:themeFillTint="33"/>
      </w:tcPr>
    </w:tblStylePr>
    <w:tblStylePr w:type="neCell">
      <w:tblPr/>
      <w:tcPr>
        <w:tcBorders>
          <w:bottom w:val="single" w:sz="4" w:space="0" w:color="FDE967" w:themeColor="accent6" w:themeTint="99"/>
        </w:tcBorders>
      </w:tcPr>
    </w:tblStylePr>
    <w:tblStylePr w:type="nwCell">
      <w:tblPr/>
      <w:tcPr>
        <w:tcBorders>
          <w:bottom w:val="single" w:sz="4" w:space="0" w:color="FDE967" w:themeColor="accent6" w:themeTint="99"/>
        </w:tcBorders>
      </w:tcPr>
    </w:tblStylePr>
    <w:tblStylePr w:type="seCell">
      <w:tblPr/>
      <w:tcPr>
        <w:tcBorders>
          <w:top w:val="single" w:sz="4" w:space="0" w:color="FDE967" w:themeColor="accent6" w:themeTint="99"/>
        </w:tcBorders>
      </w:tcPr>
    </w:tblStylePr>
    <w:tblStylePr w:type="swCell">
      <w:tblPr/>
      <w:tcPr>
        <w:tcBorders>
          <w:top w:val="single" w:sz="4" w:space="0" w:color="FDE967" w:themeColor="accent6" w:themeTint="99"/>
        </w:tcBorders>
      </w:tcPr>
    </w:tblStylePr>
  </w:style>
  <w:style w:type="table" w:customStyle="1" w:styleId="GridTable41">
    <w:name w:val="Grid Table 41"/>
    <w:basedOn w:val="TableNormal"/>
    <w:uiPriority w:val="99"/>
    <w:semiHidden/>
    <w:rsid w:val="00570B7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99"/>
    <w:semiHidden/>
    <w:rsid w:val="00570B73"/>
    <w:pPr>
      <w:spacing w:after="0" w:line="240" w:lineRule="auto"/>
    </w:pPr>
    <w:tblPr>
      <w:tblStyleRowBandSize w:val="1"/>
      <w:tblStyleColBandSize w:val="1"/>
      <w:tblBorders>
        <w:top w:val="single" w:sz="4" w:space="0" w:color="FDD074" w:themeColor="accent1" w:themeTint="99"/>
        <w:left w:val="single" w:sz="4" w:space="0" w:color="FDD074" w:themeColor="accent1" w:themeTint="99"/>
        <w:bottom w:val="single" w:sz="4" w:space="0" w:color="FDD074" w:themeColor="accent1" w:themeTint="99"/>
        <w:right w:val="single" w:sz="4" w:space="0" w:color="FDD074" w:themeColor="accent1" w:themeTint="99"/>
        <w:insideH w:val="single" w:sz="4" w:space="0" w:color="FDD074" w:themeColor="accent1" w:themeTint="99"/>
        <w:insideV w:val="single" w:sz="4" w:space="0" w:color="FDD074" w:themeColor="accent1" w:themeTint="99"/>
      </w:tblBorders>
    </w:tblPr>
    <w:tblStylePr w:type="firstRow">
      <w:rPr>
        <w:b/>
        <w:bCs/>
        <w:color w:val="FFFFFF" w:themeColor="background1"/>
      </w:rPr>
      <w:tblPr/>
      <w:tcPr>
        <w:tcBorders>
          <w:top w:val="single" w:sz="4" w:space="0" w:color="FCB319" w:themeColor="accent1"/>
          <w:left w:val="single" w:sz="4" w:space="0" w:color="FCB319" w:themeColor="accent1"/>
          <w:bottom w:val="single" w:sz="4" w:space="0" w:color="FCB319" w:themeColor="accent1"/>
          <w:right w:val="single" w:sz="4" w:space="0" w:color="FCB319" w:themeColor="accent1"/>
          <w:insideH w:val="nil"/>
          <w:insideV w:val="nil"/>
        </w:tcBorders>
        <w:shd w:val="clear" w:color="auto" w:fill="FCB319" w:themeFill="accent1"/>
      </w:tcPr>
    </w:tblStylePr>
    <w:tblStylePr w:type="lastRow">
      <w:rPr>
        <w:b/>
        <w:bCs/>
      </w:rPr>
      <w:tblPr/>
      <w:tcPr>
        <w:tcBorders>
          <w:top w:val="double" w:sz="4" w:space="0" w:color="FCB319" w:themeColor="accent1"/>
        </w:tcBorders>
      </w:tcPr>
    </w:tblStylePr>
    <w:tblStylePr w:type="firstCol">
      <w:rPr>
        <w:b/>
        <w:bCs/>
      </w:rPr>
    </w:tblStylePr>
    <w:tblStylePr w:type="lastCol">
      <w:rPr>
        <w:b/>
        <w:bCs/>
      </w:rPr>
    </w:tblStylePr>
    <w:tblStylePr w:type="band1Vert">
      <w:tblPr/>
      <w:tcPr>
        <w:shd w:val="clear" w:color="auto" w:fill="FEEFD0" w:themeFill="accent1" w:themeFillTint="33"/>
      </w:tcPr>
    </w:tblStylePr>
    <w:tblStylePr w:type="band1Horz">
      <w:tblPr/>
      <w:tcPr>
        <w:shd w:val="clear" w:color="auto" w:fill="FEEFD0" w:themeFill="accent1" w:themeFillTint="33"/>
      </w:tcPr>
    </w:tblStylePr>
  </w:style>
  <w:style w:type="table" w:customStyle="1" w:styleId="GridTable4-Accent21">
    <w:name w:val="Grid Table 4 - Accent 21"/>
    <w:basedOn w:val="TableNormal"/>
    <w:uiPriority w:val="99"/>
    <w:semiHidden/>
    <w:rsid w:val="00570B73"/>
    <w:pPr>
      <w:spacing w:after="0" w:line="240" w:lineRule="auto"/>
    </w:pPr>
    <w:tblPr>
      <w:tblStyleRowBandSize w:val="1"/>
      <w:tblStyleColBandSize w:val="1"/>
      <w:tblBorders>
        <w:top w:val="single" w:sz="4" w:space="0" w:color="F669B9" w:themeColor="accent2" w:themeTint="99"/>
        <w:left w:val="single" w:sz="4" w:space="0" w:color="F669B9" w:themeColor="accent2" w:themeTint="99"/>
        <w:bottom w:val="single" w:sz="4" w:space="0" w:color="F669B9" w:themeColor="accent2" w:themeTint="99"/>
        <w:right w:val="single" w:sz="4" w:space="0" w:color="F669B9" w:themeColor="accent2" w:themeTint="99"/>
        <w:insideH w:val="single" w:sz="4" w:space="0" w:color="F669B9" w:themeColor="accent2" w:themeTint="99"/>
        <w:insideV w:val="single" w:sz="4" w:space="0" w:color="F669B9" w:themeColor="accent2" w:themeTint="99"/>
      </w:tblBorders>
    </w:tblPr>
    <w:tblStylePr w:type="firstRow">
      <w:rPr>
        <w:b/>
        <w:bCs/>
        <w:color w:val="FFFFFF" w:themeColor="background1"/>
      </w:rPr>
      <w:tblPr/>
      <w:tcPr>
        <w:tcBorders>
          <w:top w:val="single" w:sz="4" w:space="0" w:color="E70E8A" w:themeColor="accent2"/>
          <w:left w:val="single" w:sz="4" w:space="0" w:color="E70E8A" w:themeColor="accent2"/>
          <w:bottom w:val="single" w:sz="4" w:space="0" w:color="E70E8A" w:themeColor="accent2"/>
          <w:right w:val="single" w:sz="4" w:space="0" w:color="E70E8A" w:themeColor="accent2"/>
          <w:insideH w:val="nil"/>
          <w:insideV w:val="nil"/>
        </w:tcBorders>
        <w:shd w:val="clear" w:color="auto" w:fill="E70E8A" w:themeFill="accent2"/>
      </w:tcPr>
    </w:tblStylePr>
    <w:tblStylePr w:type="lastRow">
      <w:rPr>
        <w:b/>
        <w:bCs/>
      </w:rPr>
      <w:tblPr/>
      <w:tcPr>
        <w:tcBorders>
          <w:top w:val="double" w:sz="4" w:space="0" w:color="E70E8A" w:themeColor="accent2"/>
        </w:tcBorders>
      </w:tcPr>
    </w:tblStylePr>
    <w:tblStylePr w:type="firstCol">
      <w:rPr>
        <w:b/>
        <w:bCs/>
      </w:rPr>
    </w:tblStylePr>
    <w:tblStylePr w:type="lastCol">
      <w:rPr>
        <w:b/>
        <w:bCs/>
      </w:rPr>
    </w:tblStylePr>
    <w:tblStylePr w:type="band1Vert">
      <w:tblPr/>
      <w:tcPr>
        <w:shd w:val="clear" w:color="auto" w:fill="FCCDE7" w:themeFill="accent2" w:themeFillTint="33"/>
      </w:tcPr>
    </w:tblStylePr>
    <w:tblStylePr w:type="band1Horz">
      <w:tblPr/>
      <w:tcPr>
        <w:shd w:val="clear" w:color="auto" w:fill="FCCDE7" w:themeFill="accent2" w:themeFillTint="33"/>
      </w:tcPr>
    </w:tblStylePr>
  </w:style>
  <w:style w:type="table" w:customStyle="1" w:styleId="GridTable4-Accent31">
    <w:name w:val="Grid Table 4 - Accent 31"/>
    <w:basedOn w:val="TableNormal"/>
    <w:uiPriority w:val="99"/>
    <w:semiHidden/>
    <w:rsid w:val="00570B73"/>
    <w:pPr>
      <w:spacing w:after="0" w:line="240" w:lineRule="auto"/>
    </w:pPr>
    <w:tblPr>
      <w:tblStyleRowBandSize w:val="1"/>
      <w:tblStyleColBandSize w:val="1"/>
      <w:tblBorders>
        <w:top w:val="single" w:sz="4" w:space="0" w:color="55DAFF" w:themeColor="accent3" w:themeTint="99"/>
        <w:left w:val="single" w:sz="4" w:space="0" w:color="55DAFF" w:themeColor="accent3" w:themeTint="99"/>
        <w:bottom w:val="single" w:sz="4" w:space="0" w:color="55DAFF" w:themeColor="accent3" w:themeTint="99"/>
        <w:right w:val="single" w:sz="4" w:space="0" w:color="55DAFF" w:themeColor="accent3" w:themeTint="99"/>
        <w:insideH w:val="single" w:sz="4" w:space="0" w:color="55DAFF" w:themeColor="accent3" w:themeTint="99"/>
        <w:insideV w:val="single" w:sz="4" w:space="0" w:color="55DAFF" w:themeColor="accent3" w:themeTint="99"/>
      </w:tblBorders>
    </w:tblPr>
    <w:tblStylePr w:type="firstRow">
      <w:rPr>
        <w:b/>
        <w:bCs/>
        <w:color w:val="FFFFFF" w:themeColor="background1"/>
      </w:rPr>
      <w:tblPr/>
      <w:tcPr>
        <w:tcBorders>
          <w:top w:val="single" w:sz="4" w:space="0" w:color="00B3E4" w:themeColor="accent3"/>
          <w:left w:val="single" w:sz="4" w:space="0" w:color="00B3E4" w:themeColor="accent3"/>
          <w:bottom w:val="single" w:sz="4" w:space="0" w:color="00B3E4" w:themeColor="accent3"/>
          <w:right w:val="single" w:sz="4" w:space="0" w:color="00B3E4" w:themeColor="accent3"/>
          <w:insideH w:val="nil"/>
          <w:insideV w:val="nil"/>
        </w:tcBorders>
        <w:shd w:val="clear" w:color="auto" w:fill="00B3E4" w:themeFill="accent3"/>
      </w:tcPr>
    </w:tblStylePr>
    <w:tblStylePr w:type="lastRow">
      <w:rPr>
        <w:b/>
        <w:bCs/>
      </w:rPr>
      <w:tblPr/>
      <w:tcPr>
        <w:tcBorders>
          <w:top w:val="double" w:sz="4" w:space="0" w:color="00B3E4" w:themeColor="accent3"/>
        </w:tcBorders>
      </w:tcPr>
    </w:tblStylePr>
    <w:tblStylePr w:type="firstCol">
      <w:rPr>
        <w:b/>
        <w:bCs/>
      </w:rPr>
    </w:tblStylePr>
    <w:tblStylePr w:type="lastCol">
      <w:rPr>
        <w:b/>
        <w:bCs/>
      </w:rPr>
    </w:tblStylePr>
    <w:tblStylePr w:type="band1Vert">
      <w:tblPr/>
      <w:tcPr>
        <w:shd w:val="clear" w:color="auto" w:fill="C6F2FF" w:themeFill="accent3" w:themeFillTint="33"/>
      </w:tcPr>
    </w:tblStylePr>
    <w:tblStylePr w:type="band1Horz">
      <w:tblPr/>
      <w:tcPr>
        <w:shd w:val="clear" w:color="auto" w:fill="C6F2FF" w:themeFill="accent3" w:themeFillTint="33"/>
      </w:tcPr>
    </w:tblStylePr>
  </w:style>
  <w:style w:type="table" w:customStyle="1" w:styleId="GridTable4-Accent41">
    <w:name w:val="Grid Table 4 - Accent 41"/>
    <w:basedOn w:val="TableNormal"/>
    <w:uiPriority w:val="99"/>
    <w:semiHidden/>
    <w:rsid w:val="00570B73"/>
    <w:pPr>
      <w:spacing w:after="0" w:line="240" w:lineRule="auto"/>
    </w:pPr>
    <w:tblPr>
      <w:tblStyleRowBandSize w:val="1"/>
      <w:tblStyleColBandSize w:val="1"/>
      <w:tblBorders>
        <w:top w:val="single" w:sz="4" w:space="0" w:color="B9DC8C" w:themeColor="accent4" w:themeTint="99"/>
        <w:left w:val="single" w:sz="4" w:space="0" w:color="B9DC8C" w:themeColor="accent4" w:themeTint="99"/>
        <w:bottom w:val="single" w:sz="4" w:space="0" w:color="B9DC8C" w:themeColor="accent4" w:themeTint="99"/>
        <w:right w:val="single" w:sz="4" w:space="0" w:color="B9DC8C" w:themeColor="accent4" w:themeTint="99"/>
        <w:insideH w:val="single" w:sz="4" w:space="0" w:color="B9DC8C" w:themeColor="accent4" w:themeTint="99"/>
        <w:insideV w:val="single" w:sz="4" w:space="0" w:color="B9DC8C" w:themeColor="accent4" w:themeTint="99"/>
      </w:tblBorders>
    </w:tblPr>
    <w:tblStylePr w:type="firstRow">
      <w:rPr>
        <w:b/>
        <w:bCs/>
        <w:color w:val="FFFFFF" w:themeColor="background1"/>
      </w:rPr>
      <w:tblPr/>
      <w:tcPr>
        <w:tcBorders>
          <w:top w:val="single" w:sz="4" w:space="0" w:color="8BC640" w:themeColor="accent4"/>
          <w:left w:val="single" w:sz="4" w:space="0" w:color="8BC640" w:themeColor="accent4"/>
          <w:bottom w:val="single" w:sz="4" w:space="0" w:color="8BC640" w:themeColor="accent4"/>
          <w:right w:val="single" w:sz="4" w:space="0" w:color="8BC640" w:themeColor="accent4"/>
          <w:insideH w:val="nil"/>
          <w:insideV w:val="nil"/>
        </w:tcBorders>
        <w:shd w:val="clear" w:color="auto" w:fill="8BC640" w:themeFill="accent4"/>
      </w:tcPr>
    </w:tblStylePr>
    <w:tblStylePr w:type="lastRow">
      <w:rPr>
        <w:b/>
        <w:bCs/>
      </w:rPr>
      <w:tblPr/>
      <w:tcPr>
        <w:tcBorders>
          <w:top w:val="double" w:sz="4" w:space="0" w:color="8BC640" w:themeColor="accent4"/>
        </w:tcBorders>
      </w:tcPr>
    </w:tblStylePr>
    <w:tblStylePr w:type="firstCol">
      <w:rPr>
        <w:b/>
        <w:bCs/>
      </w:rPr>
    </w:tblStylePr>
    <w:tblStylePr w:type="lastCol">
      <w:rPr>
        <w:b/>
        <w:bCs/>
      </w:rPr>
    </w:tblStylePr>
    <w:tblStylePr w:type="band1Vert">
      <w:tblPr/>
      <w:tcPr>
        <w:shd w:val="clear" w:color="auto" w:fill="E7F3D8" w:themeFill="accent4" w:themeFillTint="33"/>
      </w:tcPr>
    </w:tblStylePr>
    <w:tblStylePr w:type="band1Horz">
      <w:tblPr/>
      <w:tcPr>
        <w:shd w:val="clear" w:color="auto" w:fill="E7F3D8" w:themeFill="accent4" w:themeFillTint="33"/>
      </w:tcPr>
    </w:tblStylePr>
  </w:style>
  <w:style w:type="table" w:customStyle="1" w:styleId="GridTable4-Accent51">
    <w:name w:val="Grid Table 4 - Accent 51"/>
    <w:basedOn w:val="TableNormal"/>
    <w:uiPriority w:val="99"/>
    <w:semiHidden/>
    <w:rsid w:val="00570B73"/>
    <w:pPr>
      <w:spacing w:after="0" w:line="240" w:lineRule="auto"/>
    </w:pPr>
    <w:tblPr>
      <w:tblStyleRowBandSize w:val="1"/>
      <w:tblStyleColBandSize w:val="1"/>
      <w:tblBorders>
        <w:top w:val="single" w:sz="4" w:space="0" w:color="F5878C" w:themeColor="accent5" w:themeTint="99"/>
        <w:left w:val="single" w:sz="4" w:space="0" w:color="F5878C" w:themeColor="accent5" w:themeTint="99"/>
        <w:bottom w:val="single" w:sz="4" w:space="0" w:color="F5878C" w:themeColor="accent5" w:themeTint="99"/>
        <w:right w:val="single" w:sz="4" w:space="0" w:color="F5878C" w:themeColor="accent5" w:themeTint="99"/>
        <w:insideH w:val="single" w:sz="4" w:space="0" w:color="F5878C" w:themeColor="accent5" w:themeTint="99"/>
        <w:insideV w:val="single" w:sz="4" w:space="0" w:color="F5878C" w:themeColor="accent5" w:themeTint="99"/>
      </w:tblBorders>
    </w:tblPr>
    <w:tblStylePr w:type="firstRow">
      <w:rPr>
        <w:b/>
        <w:bCs/>
        <w:color w:val="FFFFFF" w:themeColor="background1"/>
      </w:rPr>
      <w:tblPr/>
      <w:tcPr>
        <w:tcBorders>
          <w:top w:val="single" w:sz="4" w:space="0" w:color="EF3942" w:themeColor="accent5"/>
          <w:left w:val="single" w:sz="4" w:space="0" w:color="EF3942" w:themeColor="accent5"/>
          <w:bottom w:val="single" w:sz="4" w:space="0" w:color="EF3942" w:themeColor="accent5"/>
          <w:right w:val="single" w:sz="4" w:space="0" w:color="EF3942" w:themeColor="accent5"/>
          <w:insideH w:val="nil"/>
          <w:insideV w:val="nil"/>
        </w:tcBorders>
        <w:shd w:val="clear" w:color="auto" w:fill="EF3942" w:themeFill="accent5"/>
      </w:tcPr>
    </w:tblStylePr>
    <w:tblStylePr w:type="lastRow">
      <w:rPr>
        <w:b/>
        <w:bCs/>
      </w:rPr>
      <w:tblPr/>
      <w:tcPr>
        <w:tcBorders>
          <w:top w:val="double" w:sz="4" w:space="0" w:color="EF3942" w:themeColor="accent5"/>
        </w:tcBorders>
      </w:tcPr>
    </w:tblStylePr>
    <w:tblStylePr w:type="firstCol">
      <w:rPr>
        <w:b/>
        <w:bCs/>
      </w:rPr>
    </w:tblStylePr>
    <w:tblStylePr w:type="lastCol">
      <w:rPr>
        <w:b/>
        <w:bCs/>
      </w:rPr>
    </w:tblStylePr>
    <w:tblStylePr w:type="band1Vert">
      <w:tblPr/>
      <w:tcPr>
        <w:shd w:val="clear" w:color="auto" w:fill="FBD7D8" w:themeFill="accent5" w:themeFillTint="33"/>
      </w:tcPr>
    </w:tblStylePr>
    <w:tblStylePr w:type="band1Horz">
      <w:tblPr/>
      <w:tcPr>
        <w:shd w:val="clear" w:color="auto" w:fill="FBD7D8" w:themeFill="accent5" w:themeFillTint="33"/>
      </w:tcPr>
    </w:tblStylePr>
  </w:style>
  <w:style w:type="table" w:customStyle="1" w:styleId="GridTable4-Accent61">
    <w:name w:val="Grid Table 4 - Accent 61"/>
    <w:basedOn w:val="TableNormal"/>
    <w:uiPriority w:val="99"/>
    <w:semiHidden/>
    <w:rsid w:val="00570B73"/>
    <w:pPr>
      <w:spacing w:after="0" w:line="240" w:lineRule="auto"/>
    </w:pPr>
    <w:tblPr>
      <w:tblStyleRowBandSize w:val="1"/>
      <w:tblStyleColBandSize w:val="1"/>
      <w:tblBorders>
        <w:top w:val="single" w:sz="4" w:space="0" w:color="FDE967" w:themeColor="accent6" w:themeTint="99"/>
        <w:left w:val="single" w:sz="4" w:space="0" w:color="FDE967" w:themeColor="accent6" w:themeTint="99"/>
        <w:bottom w:val="single" w:sz="4" w:space="0" w:color="FDE967" w:themeColor="accent6" w:themeTint="99"/>
        <w:right w:val="single" w:sz="4" w:space="0" w:color="FDE967" w:themeColor="accent6" w:themeTint="99"/>
        <w:insideH w:val="single" w:sz="4" w:space="0" w:color="FDE967" w:themeColor="accent6" w:themeTint="99"/>
        <w:insideV w:val="single" w:sz="4" w:space="0" w:color="FDE967" w:themeColor="accent6" w:themeTint="99"/>
      </w:tblBorders>
    </w:tblPr>
    <w:tblStylePr w:type="firstRow">
      <w:rPr>
        <w:b/>
        <w:bCs/>
        <w:color w:val="FFFFFF" w:themeColor="background1"/>
      </w:rPr>
      <w:tblPr/>
      <w:tcPr>
        <w:tcBorders>
          <w:top w:val="single" w:sz="4" w:space="0" w:color="FDDB03" w:themeColor="accent6"/>
          <w:left w:val="single" w:sz="4" w:space="0" w:color="FDDB03" w:themeColor="accent6"/>
          <w:bottom w:val="single" w:sz="4" w:space="0" w:color="FDDB03" w:themeColor="accent6"/>
          <w:right w:val="single" w:sz="4" w:space="0" w:color="FDDB03" w:themeColor="accent6"/>
          <w:insideH w:val="nil"/>
          <w:insideV w:val="nil"/>
        </w:tcBorders>
        <w:shd w:val="clear" w:color="auto" w:fill="FDDB03" w:themeFill="accent6"/>
      </w:tcPr>
    </w:tblStylePr>
    <w:tblStylePr w:type="lastRow">
      <w:rPr>
        <w:b/>
        <w:bCs/>
      </w:rPr>
      <w:tblPr/>
      <w:tcPr>
        <w:tcBorders>
          <w:top w:val="double" w:sz="4" w:space="0" w:color="FDDB03" w:themeColor="accent6"/>
        </w:tcBorders>
      </w:tcPr>
    </w:tblStylePr>
    <w:tblStylePr w:type="firstCol">
      <w:rPr>
        <w:b/>
        <w:bCs/>
      </w:rPr>
    </w:tblStylePr>
    <w:tblStylePr w:type="lastCol">
      <w:rPr>
        <w:b/>
        <w:bCs/>
      </w:rPr>
    </w:tblStylePr>
    <w:tblStylePr w:type="band1Vert">
      <w:tblPr/>
      <w:tcPr>
        <w:shd w:val="clear" w:color="auto" w:fill="FEF7CC" w:themeFill="accent6" w:themeFillTint="33"/>
      </w:tcPr>
    </w:tblStylePr>
    <w:tblStylePr w:type="band1Horz">
      <w:tblPr/>
      <w:tcPr>
        <w:shd w:val="clear" w:color="auto" w:fill="FEF7CC" w:themeFill="accent6" w:themeFillTint="33"/>
      </w:tcPr>
    </w:tblStylePr>
  </w:style>
  <w:style w:type="table" w:customStyle="1" w:styleId="GridTable5Dark1">
    <w:name w:val="Grid Table 5 Dark1"/>
    <w:basedOn w:val="TableNormal"/>
    <w:uiPriority w:val="99"/>
    <w:semiHidden/>
    <w:rsid w:val="00570B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99"/>
    <w:semiHidden/>
    <w:rsid w:val="00570B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F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B31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B31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B31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B319" w:themeFill="accent1"/>
      </w:tcPr>
    </w:tblStylePr>
    <w:tblStylePr w:type="band1Vert">
      <w:tblPr/>
      <w:tcPr>
        <w:shd w:val="clear" w:color="auto" w:fill="FDE0A2" w:themeFill="accent1" w:themeFillTint="66"/>
      </w:tcPr>
    </w:tblStylePr>
    <w:tblStylePr w:type="band1Horz">
      <w:tblPr/>
      <w:tcPr>
        <w:shd w:val="clear" w:color="auto" w:fill="FDE0A2" w:themeFill="accent1" w:themeFillTint="66"/>
      </w:tcPr>
    </w:tblStylePr>
  </w:style>
  <w:style w:type="table" w:customStyle="1" w:styleId="GridTable5Dark-Accent21">
    <w:name w:val="Grid Table 5 Dark - Accent 21"/>
    <w:basedOn w:val="TableNormal"/>
    <w:uiPriority w:val="99"/>
    <w:semiHidden/>
    <w:rsid w:val="00570B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CDE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0E8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0E8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0E8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0E8A" w:themeFill="accent2"/>
      </w:tcPr>
    </w:tblStylePr>
    <w:tblStylePr w:type="band1Vert">
      <w:tblPr/>
      <w:tcPr>
        <w:shd w:val="clear" w:color="auto" w:fill="F99BD0" w:themeFill="accent2" w:themeFillTint="66"/>
      </w:tcPr>
    </w:tblStylePr>
    <w:tblStylePr w:type="band1Horz">
      <w:tblPr/>
      <w:tcPr>
        <w:shd w:val="clear" w:color="auto" w:fill="F99BD0" w:themeFill="accent2" w:themeFillTint="66"/>
      </w:tcPr>
    </w:tblStylePr>
  </w:style>
  <w:style w:type="table" w:customStyle="1" w:styleId="GridTable5Dark-Accent31">
    <w:name w:val="Grid Table 5 Dark - Accent 31"/>
    <w:basedOn w:val="TableNormal"/>
    <w:uiPriority w:val="99"/>
    <w:semiHidden/>
    <w:rsid w:val="00570B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F2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3E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3E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3E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3E4" w:themeFill="accent3"/>
      </w:tcPr>
    </w:tblStylePr>
    <w:tblStylePr w:type="band1Vert">
      <w:tblPr/>
      <w:tcPr>
        <w:shd w:val="clear" w:color="auto" w:fill="8EE6FF" w:themeFill="accent3" w:themeFillTint="66"/>
      </w:tcPr>
    </w:tblStylePr>
    <w:tblStylePr w:type="band1Horz">
      <w:tblPr/>
      <w:tcPr>
        <w:shd w:val="clear" w:color="auto" w:fill="8EE6FF" w:themeFill="accent3" w:themeFillTint="66"/>
      </w:tcPr>
    </w:tblStylePr>
  </w:style>
  <w:style w:type="table" w:customStyle="1" w:styleId="GridTable5Dark-Accent41">
    <w:name w:val="Grid Table 5 Dark - Accent 41"/>
    <w:basedOn w:val="TableNormal"/>
    <w:uiPriority w:val="99"/>
    <w:semiHidden/>
    <w:rsid w:val="00570B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3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C64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C64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C64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C640" w:themeFill="accent4"/>
      </w:tcPr>
    </w:tblStylePr>
    <w:tblStylePr w:type="band1Vert">
      <w:tblPr/>
      <w:tcPr>
        <w:shd w:val="clear" w:color="auto" w:fill="D0E8B2" w:themeFill="accent4" w:themeFillTint="66"/>
      </w:tcPr>
    </w:tblStylePr>
    <w:tblStylePr w:type="band1Horz">
      <w:tblPr/>
      <w:tcPr>
        <w:shd w:val="clear" w:color="auto" w:fill="D0E8B2" w:themeFill="accent4" w:themeFillTint="66"/>
      </w:tcPr>
    </w:tblStylePr>
  </w:style>
  <w:style w:type="table" w:customStyle="1" w:styleId="GridTable5Dark-Accent51">
    <w:name w:val="Grid Table 5 Dark - Accent 51"/>
    <w:basedOn w:val="TableNormal"/>
    <w:uiPriority w:val="99"/>
    <w:semiHidden/>
    <w:rsid w:val="00570B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7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F39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F39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F39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F3942" w:themeFill="accent5"/>
      </w:tcPr>
    </w:tblStylePr>
    <w:tblStylePr w:type="band1Vert">
      <w:tblPr/>
      <w:tcPr>
        <w:shd w:val="clear" w:color="auto" w:fill="F8AFB3" w:themeFill="accent5" w:themeFillTint="66"/>
      </w:tcPr>
    </w:tblStylePr>
    <w:tblStylePr w:type="band1Horz">
      <w:tblPr/>
      <w:tcPr>
        <w:shd w:val="clear" w:color="auto" w:fill="F8AFB3" w:themeFill="accent5" w:themeFillTint="66"/>
      </w:tcPr>
    </w:tblStylePr>
  </w:style>
  <w:style w:type="table" w:customStyle="1" w:styleId="GridTable5Dark-Accent61">
    <w:name w:val="Grid Table 5 Dark - Accent 61"/>
    <w:basedOn w:val="TableNormal"/>
    <w:uiPriority w:val="99"/>
    <w:semiHidden/>
    <w:rsid w:val="00570B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DB0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DB0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DB0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DB03" w:themeFill="accent6"/>
      </w:tcPr>
    </w:tblStylePr>
    <w:tblStylePr w:type="band1Vert">
      <w:tblPr/>
      <w:tcPr>
        <w:shd w:val="clear" w:color="auto" w:fill="FEF09A" w:themeFill="accent6" w:themeFillTint="66"/>
      </w:tcPr>
    </w:tblStylePr>
    <w:tblStylePr w:type="band1Horz">
      <w:tblPr/>
      <w:tcPr>
        <w:shd w:val="clear" w:color="auto" w:fill="FEF09A" w:themeFill="accent6" w:themeFillTint="66"/>
      </w:tcPr>
    </w:tblStylePr>
  </w:style>
  <w:style w:type="table" w:customStyle="1" w:styleId="GridTable6Colorful1">
    <w:name w:val="Grid Table 6 Colorful1"/>
    <w:basedOn w:val="TableNormal"/>
    <w:uiPriority w:val="99"/>
    <w:semiHidden/>
    <w:rsid w:val="00570B7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99"/>
    <w:semiHidden/>
    <w:rsid w:val="00570B73"/>
    <w:pPr>
      <w:spacing w:after="0" w:line="240" w:lineRule="auto"/>
    </w:pPr>
    <w:rPr>
      <w:color w:val="CC8A02" w:themeColor="accent1" w:themeShade="BF"/>
    </w:rPr>
    <w:tblPr>
      <w:tblStyleRowBandSize w:val="1"/>
      <w:tblStyleColBandSize w:val="1"/>
      <w:tblBorders>
        <w:top w:val="single" w:sz="4" w:space="0" w:color="FDD074" w:themeColor="accent1" w:themeTint="99"/>
        <w:left w:val="single" w:sz="4" w:space="0" w:color="FDD074" w:themeColor="accent1" w:themeTint="99"/>
        <w:bottom w:val="single" w:sz="4" w:space="0" w:color="FDD074" w:themeColor="accent1" w:themeTint="99"/>
        <w:right w:val="single" w:sz="4" w:space="0" w:color="FDD074" w:themeColor="accent1" w:themeTint="99"/>
        <w:insideH w:val="single" w:sz="4" w:space="0" w:color="FDD074" w:themeColor="accent1" w:themeTint="99"/>
        <w:insideV w:val="single" w:sz="4" w:space="0" w:color="FDD074" w:themeColor="accent1" w:themeTint="99"/>
      </w:tblBorders>
    </w:tblPr>
    <w:tblStylePr w:type="firstRow">
      <w:rPr>
        <w:b/>
        <w:bCs/>
      </w:rPr>
      <w:tblPr/>
      <w:tcPr>
        <w:tcBorders>
          <w:bottom w:val="single" w:sz="12" w:space="0" w:color="FDD074" w:themeColor="accent1" w:themeTint="99"/>
        </w:tcBorders>
      </w:tcPr>
    </w:tblStylePr>
    <w:tblStylePr w:type="lastRow">
      <w:rPr>
        <w:b/>
        <w:bCs/>
      </w:rPr>
      <w:tblPr/>
      <w:tcPr>
        <w:tcBorders>
          <w:top w:val="double" w:sz="4" w:space="0" w:color="FDD074" w:themeColor="accent1" w:themeTint="99"/>
        </w:tcBorders>
      </w:tcPr>
    </w:tblStylePr>
    <w:tblStylePr w:type="firstCol">
      <w:rPr>
        <w:b/>
        <w:bCs/>
      </w:rPr>
    </w:tblStylePr>
    <w:tblStylePr w:type="lastCol">
      <w:rPr>
        <w:b/>
        <w:bCs/>
      </w:rPr>
    </w:tblStylePr>
    <w:tblStylePr w:type="band1Vert">
      <w:tblPr/>
      <w:tcPr>
        <w:shd w:val="clear" w:color="auto" w:fill="FEEFD0" w:themeFill="accent1" w:themeFillTint="33"/>
      </w:tcPr>
    </w:tblStylePr>
    <w:tblStylePr w:type="band1Horz">
      <w:tblPr/>
      <w:tcPr>
        <w:shd w:val="clear" w:color="auto" w:fill="FEEFD0" w:themeFill="accent1" w:themeFillTint="33"/>
      </w:tcPr>
    </w:tblStylePr>
  </w:style>
  <w:style w:type="table" w:customStyle="1" w:styleId="GridTable6Colorful-Accent21">
    <w:name w:val="Grid Table 6 Colorful - Accent 21"/>
    <w:basedOn w:val="TableNormal"/>
    <w:uiPriority w:val="99"/>
    <w:semiHidden/>
    <w:rsid w:val="00570B73"/>
    <w:pPr>
      <w:spacing w:after="0" w:line="240" w:lineRule="auto"/>
    </w:pPr>
    <w:rPr>
      <w:color w:val="AC0A66" w:themeColor="accent2" w:themeShade="BF"/>
    </w:rPr>
    <w:tblPr>
      <w:tblStyleRowBandSize w:val="1"/>
      <w:tblStyleColBandSize w:val="1"/>
      <w:tblBorders>
        <w:top w:val="single" w:sz="4" w:space="0" w:color="F669B9" w:themeColor="accent2" w:themeTint="99"/>
        <w:left w:val="single" w:sz="4" w:space="0" w:color="F669B9" w:themeColor="accent2" w:themeTint="99"/>
        <w:bottom w:val="single" w:sz="4" w:space="0" w:color="F669B9" w:themeColor="accent2" w:themeTint="99"/>
        <w:right w:val="single" w:sz="4" w:space="0" w:color="F669B9" w:themeColor="accent2" w:themeTint="99"/>
        <w:insideH w:val="single" w:sz="4" w:space="0" w:color="F669B9" w:themeColor="accent2" w:themeTint="99"/>
        <w:insideV w:val="single" w:sz="4" w:space="0" w:color="F669B9" w:themeColor="accent2" w:themeTint="99"/>
      </w:tblBorders>
    </w:tblPr>
    <w:tblStylePr w:type="firstRow">
      <w:rPr>
        <w:b/>
        <w:bCs/>
      </w:rPr>
      <w:tblPr/>
      <w:tcPr>
        <w:tcBorders>
          <w:bottom w:val="single" w:sz="12" w:space="0" w:color="F669B9" w:themeColor="accent2" w:themeTint="99"/>
        </w:tcBorders>
      </w:tcPr>
    </w:tblStylePr>
    <w:tblStylePr w:type="lastRow">
      <w:rPr>
        <w:b/>
        <w:bCs/>
      </w:rPr>
      <w:tblPr/>
      <w:tcPr>
        <w:tcBorders>
          <w:top w:val="double" w:sz="4" w:space="0" w:color="F669B9" w:themeColor="accent2" w:themeTint="99"/>
        </w:tcBorders>
      </w:tcPr>
    </w:tblStylePr>
    <w:tblStylePr w:type="firstCol">
      <w:rPr>
        <w:b/>
        <w:bCs/>
      </w:rPr>
    </w:tblStylePr>
    <w:tblStylePr w:type="lastCol">
      <w:rPr>
        <w:b/>
        <w:bCs/>
      </w:rPr>
    </w:tblStylePr>
    <w:tblStylePr w:type="band1Vert">
      <w:tblPr/>
      <w:tcPr>
        <w:shd w:val="clear" w:color="auto" w:fill="FCCDE7" w:themeFill="accent2" w:themeFillTint="33"/>
      </w:tcPr>
    </w:tblStylePr>
    <w:tblStylePr w:type="band1Horz">
      <w:tblPr/>
      <w:tcPr>
        <w:shd w:val="clear" w:color="auto" w:fill="FCCDE7" w:themeFill="accent2" w:themeFillTint="33"/>
      </w:tcPr>
    </w:tblStylePr>
  </w:style>
  <w:style w:type="table" w:customStyle="1" w:styleId="GridTable6Colorful-Accent31">
    <w:name w:val="Grid Table 6 Colorful - Accent 31"/>
    <w:basedOn w:val="TableNormal"/>
    <w:uiPriority w:val="99"/>
    <w:semiHidden/>
    <w:rsid w:val="00570B73"/>
    <w:pPr>
      <w:spacing w:after="0" w:line="240" w:lineRule="auto"/>
    </w:pPr>
    <w:rPr>
      <w:color w:val="0085AA" w:themeColor="accent3" w:themeShade="BF"/>
    </w:rPr>
    <w:tblPr>
      <w:tblStyleRowBandSize w:val="1"/>
      <w:tblStyleColBandSize w:val="1"/>
      <w:tblBorders>
        <w:top w:val="single" w:sz="4" w:space="0" w:color="55DAFF" w:themeColor="accent3" w:themeTint="99"/>
        <w:left w:val="single" w:sz="4" w:space="0" w:color="55DAFF" w:themeColor="accent3" w:themeTint="99"/>
        <w:bottom w:val="single" w:sz="4" w:space="0" w:color="55DAFF" w:themeColor="accent3" w:themeTint="99"/>
        <w:right w:val="single" w:sz="4" w:space="0" w:color="55DAFF" w:themeColor="accent3" w:themeTint="99"/>
        <w:insideH w:val="single" w:sz="4" w:space="0" w:color="55DAFF" w:themeColor="accent3" w:themeTint="99"/>
        <w:insideV w:val="single" w:sz="4" w:space="0" w:color="55DAFF" w:themeColor="accent3" w:themeTint="99"/>
      </w:tblBorders>
    </w:tblPr>
    <w:tblStylePr w:type="firstRow">
      <w:rPr>
        <w:b/>
        <w:bCs/>
      </w:rPr>
      <w:tblPr/>
      <w:tcPr>
        <w:tcBorders>
          <w:bottom w:val="single" w:sz="12" w:space="0" w:color="55DAFF" w:themeColor="accent3" w:themeTint="99"/>
        </w:tcBorders>
      </w:tcPr>
    </w:tblStylePr>
    <w:tblStylePr w:type="lastRow">
      <w:rPr>
        <w:b/>
        <w:bCs/>
      </w:rPr>
      <w:tblPr/>
      <w:tcPr>
        <w:tcBorders>
          <w:top w:val="double" w:sz="4" w:space="0" w:color="55DAFF" w:themeColor="accent3" w:themeTint="99"/>
        </w:tcBorders>
      </w:tcPr>
    </w:tblStylePr>
    <w:tblStylePr w:type="firstCol">
      <w:rPr>
        <w:b/>
        <w:bCs/>
      </w:rPr>
    </w:tblStylePr>
    <w:tblStylePr w:type="lastCol">
      <w:rPr>
        <w:b/>
        <w:bCs/>
      </w:rPr>
    </w:tblStylePr>
    <w:tblStylePr w:type="band1Vert">
      <w:tblPr/>
      <w:tcPr>
        <w:shd w:val="clear" w:color="auto" w:fill="C6F2FF" w:themeFill="accent3" w:themeFillTint="33"/>
      </w:tcPr>
    </w:tblStylePr>
    <w:tblStylePr w:type="band1Horz">
      <w:tblPr/>
      <w:tcPr>
        <w:shd w:val="clear" w:color="auto" w:fill="C6F2FF" w:themeFill="accent3" w:themeFillTint="33"/>
      </w:tcPr>
    </w:tblStylePr>
  </w:style>
  <w:style w:type="table" w:customStyle="1" w:styleId="GridTable6Colorful-Accent41">
    <w:name w:val="Grid Table 6 Colorful - Accent 41"/>
    <w:basedOn w:val="TableNormal"/>
    <w:uiPriority w:val="99"/>
    <w:semiHidden/>
    <w:rsid w:val="00570B73"/>
    <w:pPr>
      <w:spacing w:after="0" w:line="240" w:lineRule="auto"/>
    </w:pPr>
    <w:rPr>
      <w:color w:val="68962D" w:themeColor="accent4" w:themeShade="BF"/>
    </w:rPr>
    <w:tblPr>
      <w:tblStyleRowBandSize w:val="1"/>
      <w:tblStyleColBandSize w:val="1"/>
      <w:tblBorders>
        <w:top w:val="single" w:sz="4" w:space="0" w:color="B9DC8C" w:themeColor="accent4" w:themeTint="99"/>
        <w:left w:val="single" w:sz="4" w:space="0" w:color="B9DC8C" w:themeColor="accent4" w:themeTint="99"/>
        <w:bottom w:val="single" w:sz="4" w:space="0" w:color="B9DC8C" w:themeColor="accent4" w:themeTint="99"/>
        <w:right w:val="single" w:sz="4" w:space="0" w:color="B9DC8C" w:themeColor="accent4" w:themeTint="99"/>
        <w:insideH w:val="single" w:sz="4" w:space="0" w:color="B9DC8C" w:themeColor="accent4" w:themeTint="99"/>
        <w:insideV w:val="single" w:sz="4" w:space="0" w:color="B9DC8C" w:themeColor="accent4" w:themeTint="99"/>
      </w:tblBorders>
    </w:tblPr>
    <w:tblStylePr w:type="firstRow">
      <w:rPr>
        <w:b/>
        <w:bCs/>
      </w:rPr>
      <w:tblPr/>
      <w:tcPr>
        <w:tcBorders>
          <w:bottom w:val="single" w:sz="12" w:space="0" w:color="B9DC8C" w:themeColor="accent4" w:themeTint="99"/>
        </w:tcBorders>
      </w:tcPr>
    </w:tblStylePr>
    <w:tblStylePr w:type="lastRow">
      <w:rPr>
        <w:b/>
        <w:bCs/>
      </w:rPr>
      <w:tblPr/>
      <w:tcPr>
        <w:tcBorders>
          <w:top w:val="double" w:sz="4" w:space="0" w:color="B9DC8C" w:themeColor="accent4" w:themeTint="99"/>
        </w:tcBorders>
      </w:tcPr>
    </w:tblStylePr>
    <w:tblStylePr w:type="firstCol">
      <w:rPr>
        <w:b/>
        <w:bCs/>
      </w:rPr>
    </w:tblStylePr>
    <w:tblStylePr w:type="lastCol">
      <w:rPr>
        <w:b/>
        <w:bCs/>
      </w:rPr>
    </w:tblStylePr>
    <w:tblStylePr w:type="band1Vert">
      <w:tblPr/>
      <w:tcPr>
        <w:shd w:val="clear" w:color="auto" w:fill="E7F3D8" w:themeFill="accent4" w:themeFillTint="33"/>
      </w:tcPr>
    </w:tblStylePr>
    <w:tblStylePr w:type="band1Horz">
      <w:tblPr/>
      <w:tcPr>
        <w:shd w:val="clear" w:color="auto" w:fill="E7F3D8" w:themeFill="accent4" w:themeFillTint="33"/>
      </w:tcPr>
    </w:tblStylePr>
  </w:style>
  <w:style w:type="table" w:customStyle="1" w:styleId="GridTable6Colorful-Accent51">
    <w:name w:val="Grid Table 6 Colorful - Accent 51"/>
    <w:basedOn w:val="TableNormal"/>
    <w:uiPriority w:val="99"/>
    <w:semiHidden/>
    <w:rsid w:val="00570B73"/>
    <w:pPr>
      <w:spacing w:after="0" w:line="240" w:lineRule="auto"/>
    </w:pPr>
    <w:rPr>
      <w:color w:val="CD1019" w:themeColor="accent5" w:themeShade="BF"/>
    </w:rPr>
    <w:tblPr>
      <w:tblStyleRowBandSize w:val="1"/>
      <w:tblStyleColBandSize w:val="1"/>
      <w:tblBorders>
        <w:top w:val="single" w:sz="4" w:space="0" w:color="F5878C" w:themeColor="accent5" w:themeTint="99"/>
        <w:left w:val="single" w:sz="4" w:space="0" w:color="F5878C" w:themeColor="accent5" w:themeTint="99"/>
        <w:bottom w:val="single" w:sz="4" w:space="0" w:color="F5878C" w:themeColor="accent5" w:themeTint="99"/>
        <w:right w:val="single" w:sz="4" w:space="0" w:color="F5878C" w:themeColor="accent5" w:themeTint="99"/>
        <w:insideH w:val="single" w:sz="4" w:space="0" w:color="F5878C" w:themeColor="accent5" w:themeTint="99"/>
        <w:insideV w:val="single" w:sz="4" w:space="0" w:color="F5878C" w:themeColor="accent5" w:themeTint="99"/>
      </w:tblBorders>
    </w:tblPr>
    <w:tblStylePr w:type="firstRow">
      <w:rPr>
        <w:b/>
        <w:bCs/>
      </w:rPr>
      <w:tblPr/>
      <w:tcPr>
        <w:tcBorders>
          <w:bottom w:val="single" w:sz="12" w:space="0" w:color="F5878C" w:themeColor="accent5" w:themeTint="99"/>
        </w:tcBorders>
      </w:tcPr>
    </w:tblStylePr>
    <w:tblStylePr w:type="lastRow">
      <w:rPr>
        <w:b/>
        <w:bCs/>
      </w:rPr>
      <w:tblPr/>
      <w:tcPr>
        <w:tcBorders>
          <w:top w:val="double" w:sz="4" w:space="0" w:color="F5878C" w:themeColor="accent5" w:themeTint="99"/>
        </w:tcBorders>
      </w:tcPr>
    </w:tblStylePr>
    <w:tblStylePr w:type="firstCol">
      <w:rPr>
        <w:b/>
        <w:bCs/>
      </w:rPr>
    </w:tblStylePr>
    <w:tblStylePr w:type="lastCol">
      <w:rPr>
        <w:b/>
        <w:bCs/>
      </w:rPr>
    </w:tblStylePr>
    <w:tblStylePr w:type="band1Vert">
      <w:tblPr/>
      <w:tcPr>
        <w:shd w:val="clear" w:color="auto" w:fill="FBD7D8" w:themeFill="accent5" w:themeFillTint="33"/>
      </w:tcPr>
    </w:tblStylePr>
    <w:tblStylePr w:type="band1Horz">
      <w:tblPr/>
      <w:tcPr>
        <w:shd w:val="clear" w:color="auto" w:fill="FBD7D8" w:themeFill="accent5" w:themeFillTint="33"/>
      </w:tcPr>
    </w:tblStylePr>
  </w:style>
  <w:style w:type="table" w:customStyle="1" w:styleId="GridTable6Colorful-Accent61">
    <w:name w:val="Grid Table 6 Colorful - Accent 61"/>
    <w:basedOn w:val="TableNormal"/>
    <w:uiPriority w:val="99"/>
    <w:semiHidden/>
    <w:rsid w:val="00570B73"/>
    <w:pPr>
      <w:spacing w:after="0" w:line="240" w:lineRule="auto"/>
    </w:pPr>
    <w:rPr>
      <w:color w:val="BEA401" w:themeColor="accent6" w:themeShade="BF"/>
    </w:rPr>
    <w:tblPr>
      <w:tblStyleRowBandSize w:val="1"/>
      <w:tblStyleColBandSize w:val="1"/>
      <w:tblBorders>
        <w:top w:val="single" w:sz="4" w:space="0" w:color="FDE967" w:themeColor="accent6" w:themeTint="99"/>
        <w:left w:val="single" w:sz="4" w:space="0" w:color="FDE967" w:themeColor="accent6" w:themeTint="99"/>
        <w:bottom w:val="single" w:sz="4" w:space="0" w:color="FDE967" w:themeColor="accent6" w:themeTint="99"/>
        <w:right w:val="single" w:sz="4" w:space="0" w:color="FDE967" w:themeColor="accent6" w:themeTint="99"/>
        <w:insideH w:val="single" w:sz="4" w:space="0" w:color="FDE967" w:themeColor="accent6" w:themeTint="99"/>
        <w:insideV w:val="single" w:sz="4" w:space="0" w:color="FDE967" w:themeColor="accent6" w:themeTint="99"/>
      </w:tblBorders>
    </w:tblPr>
    <w:tblStylePr w:type="firstRow">
      <w:rPr>
        <w:b/>
        <w:bCs/>
      </w:rPr>
      <w:tblPr/>
      <w:tcPr>
        <w:tcBorders>
          <w:bottom w:val="single" w:sz="12" w:space="0" w:color="FDE967" w:themeColor="accent6" w:themeTint="99"/>
        </w:tcBorders>
      </w:tcPr>
    </w:tblStylePr>
    <w:tblStylePr w:type="lastRow">
      <w:rPr>
        <w:b/>
        <w:bCs/>
      </w:rPr>
      <w:tblPr/>
      <w:tcPr>
        <w:tcBorders>
          <w:top w:val="double" w:sz="4" w:space="0" w:color="FDE967" w:themeColor="accent6" w:themeTint="99"/>
        </w:tcBorders>
      </w:tcPr>
    </w:tblStylePr>
    <w:tblStylePr w:type="firstCol">
      <w:rPr>
        <w:b/>
        <w:bCs/>
      </w:rPr>
    </w:tblStylePr>
    <w:tblStylePr w:type="lastCol">
      <w:rPr>
        <w:b/>
        <w:bCs/>
      </w:rPr>
    </w:tblStylePr>
    <w:tblStylePr w:type="band1Vert">
      <w:tblPr/>
      <w:tcPr>
        <w:shd w:val="clear" w:color="auto" w:fill="FEF7CC" w:themeFill="accent6" w:themeFillTint="33"/>
      </w:tcPr>
    </w:tblStylePr>
    <w:tblStylePr w:type="band1Horz">
      <w:tblPr/>
      <w:tcPr>
        <w:shd w:val="clear" w:color="auto" w:fill="FEF7CC" w:themeFill="accent6" w:themeFillTint="33"/>
      </w:tcPr>
    </w:tblStylePr>
  </w:style>
  <w:style w:type="table" w:customStyle="1" w:styleId="GridTable7Colorful1">
    <w:name w:val="Grid Table 7 Colorful1"/>
    <w:basedOn w:val="TableNormal"/>
    <w:uiPriority w:val="99"/>
    <w:semiHidden/>
    <w:rsid w:val="00570B7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99"/>
    <w:semiHidden/>
    <w:rsid w:val="00570B73"/>
    <w:pPr>
      <w:spacing w:after="0" w:line="240" w:lineRule="auto"/>
    </w:pPr>
    <w:rPr>
      <w:color w:val="CC8A02" w:themeColor="accent1" w:themeShade="BF"/>
    </w:rPr>
    <w:tblPr>
      <w:tblStyleRowBandSize w:val="1"/>
      <w:tblStyleColBandSize w:val="1"/>
      <w:tblBorders>
        <w:top w:val="single" w:sz="4" w:space="0" w:color="FDD074" w:themeColor="accent1" w:themeTint="99"/>
        <w:left w:val="single" w:sz="4" w:space="0" w:color="FDD074" w:themeColor="accent1" w:themeTint="99"/>
        <w:bottom w:val="single" w:sz="4" w:space="0" w:color="FDD074" w:themeColor="accent1" w:themeTint="99"/>
        <w:right w:val="single" w:sz="4" w:space="0" w:color="FDD074" w:themeColor="accent1" w:themeTint="99"/>
        <w:insideH w:val="single" w:sz="4" w:space="0" w:color="FDD074" w:themeColor="accent1" w:themeTint="99"/>
        <w:insideV w:val="single" w:sz="4" w:space="0" w:color="FDD07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FD0" w:themeFill="accent1" w:themeFillTint="33"/>
      </w:tcPr>
    </w:tblStylePr>
    <w:tblStylePr w:type="band1Horz">
      <w:tblPr/>
      <w:tcPr>
        <w:shd w:val="clear" w:color="auto" w:fill="FEEFD0" w:themeFill="accent1" w:themeFillTint="33"/>
      </w:tcPr>
    </w:tblStylePr>
    <w:tblStylePr w:type="neCell">
      <w:tblPr/>
      <w:tcPr>
        <w:tcBorders>
          <w:bottom w:val="single" w:sz="4" w:space="0" w:color="FDD074" w:themeColor="accent1" w:themeTint="99"/>
        </w:tcBorders>
      </w:tcPr>
    </w:tblStylePr>
    <w:tblStylePr w:type="nwCell">
      <w:tblPr/>
      <w:tcPr>
        <w:tcBorders>
          <w:bottom w:val="single" w:sz="4" w:space="0" w:color="FDD074" w:themeColor="accent1" w:themeTint="99"/>
        </w:tcBorders>
      </w:tcPr>
    </w:tblStylePr>
    <w:tblStylePr w:type="seCell">
      <w:tblPr/>
      <w:tcPr>
        <w:tcBorders>
          <w:top w:val="single" w:sz="4" w:space="0" w:color="FDD074" w:themeColor="accent1" w:themeTint="99"/>
        </w:tcBorders>
      </w:tcPr>
    </w:tblStylePr>
    <w:tblStylePr w:type="swCell">
      <w:tblPr/>
      <w:tcPr>
        <w:tcBorders>
          <w:top w:val="single" w:sz="4" w:space="0" w:color="FDD074" w:themeColor="accent1" w:themeTint="99"/>
        </w:tcBorders>
      </w:tcPr>
    </w:tblStylePr>
  </w:style>
  <w:style w:type="table" w:customStyle="1" w:styleId="GridTable7Colorful-Accent21">
    <w:name w:val="Grid Table 7 Colorful - Accent 21"/>
    <w:basedOn w:val="TableNormal"/>
    <w:uiPriority w:val="99"/>
    <w:semiHidden/>
    <w:rsid w:val="00570B73"/>
    <w:pPr>
      <w:spacing w:after="0" w:line="240" w:lineRule="auto"/>
    </w:pPr>
    <w:rPr>
      <w:color w:val="AC0A66" w:themeColor="accent2" w:themeShade="BF"/>
    </w:rPr>
    <w:tblPr>
      <w:tblStyleRowBandSize w:val="1"/>
      <w:tblStyleColBandSize w:val="1"/>
      <w:tblBorders>
        <w:top w:val="single" w:sz="4" w:space="0" w:color="F669B9" w:themeColor="accent2" w:themeTint="99"/>
        <w:left w:val="single" w:sz="4" w:space="0" w:color="F669B9" w:themeColor="accent2" w:themeTint="99"/>
        <w:bottom w:val="single" w:sz="4" w:space="0" w:color="F669B9" w:themeColor="accent2" w:themeTint="99"/>
        <w:right w:val="single" w:sz="4" w:space="0" w:color="F669B9" w:themeColor="accent2" w:themeTint="99"/>
        <w:insideH w:val="single" w:sz="4" w:space="0" w:color="F669B9" w:themeColor="accent2" w:themeTint="99"/>
        <w:insideV w:val="single" w:sz="4" w:space="0" w:color="F669B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CDE7" w:themeFill="accent2" w:themeFillTint="33"/>
      </w:tcPr>
    </w:tblStylePr>
    <w:tblStylePr w:type="band1Horz">
      <w:tblPr/>
      <w:tcPr>
        <w:shd w:val="clear" w:color="auto" w:fill="FCCDE7" w:themeFill="accent2" w:themeFillTint="33"/>
      </w:tcPr>
    </w:tblStylePr>
    <w:tblStylePr w:type="neCell">
      <w:tblPr/>
      <w:tcPr>
        <w:tcBorders>
          <w:bottom w:val="single" w:sz="4" w:space="0" w:color="F669B9" w:themeColor="accent2" w:themeTint="99"/>
        </w:tcBorders>
      </w:tcPr>
    </w:tblStylePr>
    <w:tblStylePr w:type="nwCell">
      <w:tblPr/>
      <w:tcPr>
        <w:tcBorders>
          <w:bottom w:val="single" w:sz="4" w:space="0" w:color="F669B9" w:themeColor="accent2" w:themeTint="99"/>
        </w:tcBorders>
      </w:tcPr>
    </w:tblStylePr>
    <w:tblStylePr w:type="seCell">
      <w:tblPr/>
      <w:tcPr>
        <w:tcBorders>
          <w:top w:val="single" w:sz="4" w:space="0" w:color="F669B9" w:themeColor="accent2" w:themeTint="99"/>
        </w:tcBorders>
      </w:tcPr>
    </w:tblStylePr>
    <w:tblStylePr w:type="swCell">
      <w:tblPr/>
      <w:tcPr>
        <w:tcBorders>
          <w:top w:val="single" w:sz="4" w:space="0" w:color="F669B9" w:themeColor="accent2" w:themeTint="99"/>
        </w:tcBorders>
      </w:tcPr>
    </w:tblStylePr>
  </w:style>
  <w:style w:type="table" w:customStyle="1" w:styleId="GridTable7Colorful-Accent31">
    <w:name w:val="Grid Table 7 Colorful - Accent 31"/>
    <w:basedOn w:val="TableNormal"/>
    <w:uiPriority w:val="99"/>
    <w:semiHidden/>
    <w:rsid w:val="00570B73"/>
    <w:pPr>
      <w:spacing w:after="0" w:line="240" w:lineRule="auto"/>
    </w:pPr>
    <w:rPr>
      <w:color w:val="0085AA" w:themeColor="accent3" w:themeShade="BF"/>
    </w:rPr>
    <w:tblPr>
      <w:tblStyleRowBandSize w:val="1"/>
      <w:tblStyleColBandSize w:val="1"/>
      <w:tblBorders>
        <w:top w:val="single" w:sz="4" w:space="0" w:color="55DAFF" w:themeColor="accent3" w:themeTint="99"/>
        <w:left w:val="single" w:sz="4" w:space="0" w:color="55DAFF" w:themeColor="accent3" w:themeTint="99"/>
        <w:bottom w:val="single" w:sz="4" w:space="0" w:color="55DAFF" w:themeColor="accent3" w:themeTint="99"/>
        <w:right w:val="single" w:sz="4" w:space="0" w:color="55DAFF" w:themeColor="accent3" w:themeTint="99"/>
        <w:insideH w:val="single" w:sz="4" w:space="0" w:color="55DAFF" w:themeColor="accent3" w:themeTint="99"/>
        <w:insideV w:val="single" w:sz="4" w:space="0" w:color="55DA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2FF" w:themeFill="accent3" w:themeFillTint="33"/>
      </w:tcPr>
    </w:tblStylePr>
    <w:tblStylePr w:type="band1Horz">
      <w:tblPr/>
      <w:tcPr>
        <w:shd w:val="clear" w:color="auto" w:fill="C6F2FF" w:themeFill="accent3" w:themeFillTint="33"/>
      </w:tcPr>
    </w:tblStylePr>
    <w:tblStylePr w:type="neCell">
      <w:tblPr/>
      <w:tcPr>
        <w:tcBorders>
          <w:bottom w:val="single" w:sz="4" w:space="0" w:color="55DAFF" w:themeColor="accent3" w:themeTint="99"/>
        </w:tcBorders>
      </w:tcPr>
    </w:tblStylePr>
    <w:tblStylePr w:type="nwCell">
      <w:tblPr/>
      <w:tcPr>
        <w:tcBorders>
          <w:bottom w:val="single" w:sz="4" w:space="0" w:color="55DAFF" w:themeColor="accent3" w:themeTint="99"/>
        </w:tcBorders>
      </w:tcPr>
    </w:tblStylePr>
    <w:tblStylePr w:type="seCell">
      <w:tblPr/>
      <w:tcPr>
        <w:tcBorders>
          <w:top w:val="single" w:sz="4" w:space="0" w:color="55DAFF" w:themeColor="accent3" w:themeTint="99"/>
        </w:tcBorders>
      </w:tcPr>
    </w:tblStylePr>
    <w:tblStylePr w:type="swCell">
      <w:tblPr/>
      <w:tcPr>
        <w:tcBorders>
          <w:top w:val="single" w:sz="4" w:space="0" w:color="55DAFF" w:themeColor="accent3" w:themeTint="99"/>
        </w:tcBorders>
      </w:tcPr>
    </w:tblStylePr>
  </w:style>
  <w:style w:type="table" w:customStyle="1" w:styleId="GridTable7Colorful-Accent41">
    <w:name w:val="Grid Table 7 Colorful - Accent 41"/>
    <w:basedOn w:val="TableNormal"/>
    <w:uiPriority w:val="99"/>
    <w:semiHidden/>
    <w:rsid w:val="00570B73"/>
    <w:pPr>
      <w:spacing w:after="0" w:line="240" w:lineRule="auto"/>
    </w:pPr>
    <w:rPr>
      <w:color w:val="68962D" w:themeColor="accent4" w:themeShade="BF"/>
    </w:rPr>
    <w:tblPr>
      <w:tblStyleRowBandSize w:val="1"/>
      <w:tblStyleColBandSize w:val="1"/>
      <w:tblBorders>
        <w:top w:val="single" w:sz="4" w:space="0" w:color="B9DC8C" w:themeColor="accent4" w:themeTint="99"/>
        <w:left w:val="single" w:sz="4" w:space="0" w:color="B9DC8C" w:themeColor="accent4" w:themeTint="99"/>
        <w:bottom w:val="single" w:sz="4" w:space="0" w:color="B9DC8C" w:themeColor="accent4" w:themeTint="99"/>
        <w:right w:val="single" w:sz="4" w:space="0" w:color="B9DC8C" w:themeColor="accent4" w:themeTint="99"/>
        <w:insideH w:val="single" w:sz="4" w:space="0" w:color="B9DC8C" w:themeColor="accent4" w:themeTint="99"/>
        <w:insideV w:val="single" w:sz="4" w:space="0" w:color="B9DC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3D8" w:themeFill="accent4" w:themeFillTint="33"/>
      </w:tcPr>
    </w:tblStylePr>
    <w:tblStylePr w:type="band1Horz">
      <w:tblPr/>
      <w:tcPr>
        <w:shd w:val="clear" w:color="auto" w:fill="E7F3D8" w:themeFill="accent4" w:themeFillTint="33"/>
      </w:tcPr>
    </w:tblStylePr>
    <w:tblStylePr w:type="neCell">
      <w:tblPr/>
      <w:tcPr>
        <w:tcBorders>
          <w:bottom w:val="single" w:sz="4" w:space="0" w:color="B9DC8C" w:themeColor="accent4" w:themeTint="99"/>
        </w:tcBorders>
      </w:tcPr>
    </w:tblStylePr>
    <w:tblStylePr w:type="nwCell">
      <w:tblPr/>
      <w:tcPr>
        <w:tcBorders>
          <w:bottom w:val="single" w:sz="4" w:space="0" w:color="B9DC8C" w:themeColor="accent4" w:themeTint="99"/>
        </w:tcBorders>
      </w:tcPr>
    </w:tblStylePr>
    <w:tblStylePr w:type="seCell">
      <w:tblPr/>
      <w:tcPr>
        <w:tcBorders>
          <w:top w:val="single" w:sz="4" w:space="0" w:color="B9DC8C" w:themeColor="accent4" w:themeTint="99"/>
        </w:tcBorders>
      </w:tcPr>
    </w:tblStylePr>
    <w:tblStylePr w:type="swCell">
      <w:tblPr/>
      <w:tcPr>
        <w:tcBorders>
          <w:top w:val="single" w:sz="4" w:space="0" w:color="B9DC8C" w:themeColor="accent4" w:themeTint="99"/>
        </w:tcBorders>
      </w:tcPr>
    </w:tblStylePr>
  </w:style>
  <w:style w:type="table" w:customStyle="1" w:styleId="GridTable7Colorful-Accent51">
    <w:name w:val="Grid Table 7 Colorful - Accent 51"/>
    <w:basedOn w:val="TableNormal"/>
    <w:uiPriority w:val="99"/>
    <w:semiHidden/>
    <w:rsid w:val="00570B73"/>
    <w:pPr>
      <w:spacing w:after="0" w:line="240" w:lineRule="auto"/>
    </w:pPr>
    <w:rPr>
      <w:color w:val="CD1019" w:themeColor="accent5" w:themeShade="BF"/>
    </w:rPr>
    <w:tblPr>
      <w:tblStyleRowBandSize w:val="1"/>
      <w:tblStyleColBandSize w:val="1"/>
      <w:tblBorders>
        <w:top w:val="single" w:sz="4" w:space="0" w:color="F5878C" w:themeColor="accent5" w:themeTint="99"/>
        <w:left w:val="single" w:sz="4" w:space="0" w:color="F5878C" w:themeColor="accent5" w:themeTint="99"/>
        <w:bottom w:val="single" w:sz="4" w:space="0" w:color="F5878C" w:themeColor="accent5" w:themeTint="99"/>
        <w:right w:val="single" w:sz="4" w:space="0" w:color="F5878C" w:themeColor="accent5" w:themeTint="99"/>
        <w:insideH w:val="single" w:sz="4" w:space="0" w:color="F5878C" w:themeColor="accent5" w:themeTint="99"/>
        <w:insideV w:val="single" w:sz="4" w:space="0" w:color="F5878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7D8" w:themeFill="accent5" w:themeFillTint="33"/>
      </w:tcPr>
    </w:tblStylePr>
    <w:tblStylePr w:type="band1Horz">
      <w:tblPr/>
      <w:tcPr>
        <w:shd w:val="clear" w:color="auto" w:fill="FBD7D8" w:themeFill="accent5" w:themeFillTint="33"/>
      </w:tcPr>
    </w:tblStylePr>
    <w:tblStylePr w:type="neCell">
      <w:tblPr/>
      <w:tcPr>
        <w:tcBorders>
          <w:bottom w:val="single" w:sz="4" w:space="0" w:color="F5878C" w:themeColor="accent5" w:themeTint="99"/>
        </w:tcBorders>
      </w:tcPr>
    </w:tblStylePr>
    <w:tblStylePr w:type="nwCell">
      <w:tblPr/>
      <w:tcPr>
        <w:tcBorders>
          <w:bottom w:val="single" w:sz="4" w:space="0" w:color="F5878C" w:themeColor="accent5" w:themeTint="99"/>
        </w:tcBorders>
      </w:tcPr>
    </w:tblStylePr>
    <w:tblStylePr w:type="seCell">
      <w:tblPr/>
      <w:tcPr>
        <w:tcBorders>
          <w:top w:val="single" w:sz="4" w:space="0" w:color="F5878C" w:themeColor="accent5" w:themeTint="99"/>
        </w:tcBorders>
      </w:tcPr>
    </w:tblStylePr>
    <w:tblStylePr w:type="swCell">
      <w:tblPr/>
      <w:tcPr>
        <w:tcBorders>
          <w:top w:val="single" w:sz="4" w:space="0" w:color="F5878C" w:themeColor="accent5" w:themeTint="99"/>
        </w:tcBorders>
      </w:tcPr>
    </w:tblStylePr>
  </w:style>
  <w:style w:type="table" w:customStyle="1" w:styleId="GridTable7Colorful-Accent61">
    <w:name w:val="Grid Table 7 Colorful - Accent 61"/>
    <w:basedOn w:val="TableNormal"/>
    <w:uiPriority w:val="99"/>
    <w:semiHidden/>
    <w:rsid w:val="00570B73"/>
    <w:pPr>
      <w:spacing w:after="0" w:line="240" w:lineRule="auto"/>
    </w:pPr>
    <w:rPr>
      <w:color w:val="BEA401" w:themeColor="accent6" w:themeShade="BF"/>
    </w:rPr>
    <w:tblPr>
      <w:tblStyleRowBandSize w:val="1"/>
      <w:tblStyleColBandSize w:val="1"/>
      <w:tblBorders>
        <w:top w:val="single" w:sz="4" w:space="0" w:color="FDE967" w:themeColor="accent6" w:themeTint="99"/>
        <w:left w:val="single" w:sz="4" w:space="0" w:color="FDE967" w:themeColor="accent6" w:themeTint="99"/>
        <w:bottom w:val="single" w:sz="4" w:space="0" w:color="FDE967" w:themeColor="accent6" w:themeTint="99"/>
        <w:right w:val="single" w:sz="4" w:space="0" w:color="FDE967" w:themeColor="accent6" w:themeTint="99"/>
        <w:insideH w:val="single" w:sz="4" w:space="0" w:color="FDE967" w:themeColor="accent6" w:themeTint="99"/>
        <w:insideV w:val="single" w:sz="4" w:space="0" w:color="FDE96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6" w:themeFillTint="33"/>
      </w:tcPr>
    </w:tblStylePr>
    <w:tblStylePr w:type="band1Horz">
      <w:tblPr/>
      <w:tcPr>
        <w:shd w:val="clear" w:color="auto" w:fill="FEF7CC" w:themeFill="accent6" w:themeFillTint="33"/>
      </w:tcPr>
    </w:tblStylePr>
    <w:tblStylePr w:type="neCell">
      <w:tblPr/>
      <w:tcPr>
        <w:tcBorders>
          <w:bottom w:val="single" w:sz="4" w:space="0" w:color="FDE967" w:themeColor="accent6" w:themeTint="99"/>
        </w:tcBorders>
      </w:tcPr>
    </w:tblStylePr>
    <w:tblStylePr w:type="nwCell">
      <w:tblPr/>
      <w:tcPr>
        <w:tcBorders>
          <w:bottom w:val="single" w:sz="4" w:space="0" w:color="FDE967" w:themeColor="accent6" w:themeTint="99"/>
        </w:tcBorders>
      </w:tcPr>
    </w:tblStylePr>
    <w:tblStylePr w:type="seCell">
      <w:tblPr/>
      <w:tcPr>
        <w:tcBorders>
          <w:top w:val="single" w:sz="4" w:space="0" w:color="FDE967" w:themeColor="accent6" w:themeTint="99"/>
        </w:tcBorders>
      </w:tcPr>
    </w:tblStylePr>
    <w:tblStylePr w:type="swCell">
      <w:tblPr/>
      <w:tcPr>
        <w:tcBorders>
          <w:top w:val="single" w:sz="4" w:space="0" w:color="FDE967" w:themeColor="accent6" w:themeTint="99"/>
        </w:tcBorders>
      </w:tcPr>
    </w:tblStylePr>
  </w:style>
  <w:style w:type="character" w:customStyle="1" w:styleId="Hashtag1">
    <w:name w:val="Hashtag1"/>
    <w:basedOn w:val="DefaultParagraphFont"/>
    <w:uiPriority w:val="99"/>
    <w:semiHidden/>
    <w:unhideWhenUsed/>
    <w:rsid w:val="00570B73"/>
    <w:rPr>
      <w:color w:val="2B579A"/>
      <w:shd w:val="clear" w:color="auto" w:fill="E6E6E6"/>
    </w:rPr>
  </w:style>
  <w:style w:type="paragraph" w:styleId="Header">
    <w:name w:val="header"/>
    <w:basedOn w:val="Normal"/>
    <w:link w:val="HeaderChar"/>
    <w:uiPriority w:val="99"/>
    <w:semiHidden/>
    <w:rsid w:val="00DF0E94"/>
    <w:pPr>
      <w:jc w:val="center"/>
    </w:pPr>
  </w:style>
  <w:style w:type="character" w:customStyle="1" w:styleId="HeaderChar">
    <w:name w:val="Header Char"/>
    <w:basedOn w:val="DefaultParagraphFont"/>
    <w:link w:val="Header"/>
    <w:uiPriority w:val="99"/>
    <w:semiHidden/>
    <w:rsid w:val="00DF0E94"/>
  </w:style>
  <w:style w:type="character" w:styleId="HTMLAcronym">
    <w:name w:val="HTML Acronym"/>
    <w:basedOn w:val="DefaultParagraphFont"/>
    <w:uiPriority w:val="99"/>
    <w:semiHidden/>
    <w:unhideWhenUsed/>
    <w:rsid w:val="00570B73"/>
  </w:style>
  <w:style w:type="paragraph" w:styleId="HTMLAddress">
    <w:name w:val="HTML Address"/>
    <w:basedOn w:val="Normal"/>
    <w:link w:val="HTMLAddressChar"/>
    <w:uiPriority w:val="99"/>
    <w:semiHidden/>
    <w:unhideWhenUsed/>
    <w:rsid w:val="00570B73"/>
    <w:rPr>
      <w:i/>
      <w:iCs/>
    </w:rPr>
  </w:style>
  <w:style w:type="character" w:customStyle="1" w:styleId="HTMLAddressChar">
    <w:name w:val="HTML Address Char"/>
    <w:basedOn w:val="DefaultParagraphFont"/>
    <w:link w:val="HTMLAddress"/>
    <w:uiPriority w:val="99"/>
    <w:semiHidden/>
    <w:rsid w:val="00570B73"/>
    <w:rPr>
      <w:i/>
      <w:iCs/>
    </w:rPr>
  </w:style>
  <w:style w:type="character" w:styleId="HTMLCite">
    <w:name w:val="HTML Cite"/>
    <w:basedOn w:val="DefaultParagraphFont"/>
    <w:uiPriority w:val="99"/>
    <w:semiHidden/>
    <w:unhideWhenUsed/>
    <w:rsid w:val="00570B73"/>
    <w:rPr>
      <w:i/>
      <w:iCs/>
    </w:rPr>
  </w:style>
  <w:style w:type="character" w:styleId="HTMLCode">
    <w:name w:val="HTML Code"/>
    <w:basedOn w:val="DefaultParagraphFont"/>
    <w:uiPriority w:val="99"/>
    <w:semiHidden/>
    <w:unhideWhenUsed/>
    <w:rsid w:val="00570B73"/>
    <w:rPr>
      <w:rFonts w:ascii="Consolas" w:hAnsi="Consolas"/>
      <w:sz w:val="20"/>
      <w:szCs w:val="20"/>
    </w:rPr>
  </w:style>
  <w:style w:type="character" w:styleId="HTMLDefinition">
    <w:name w:val="HTML Definition"/>
    <w:basedOn w:val="DefaultParagraphFont"/>
    <w:uiPriority w:val="99"/>
    <w:semiHidden/>
    <w:unhideWhenUsed/>
    <w:rsid w:val="00570B73"/>
    <w:rPr>
      <w:i/>
      <w:iCs/>
    </w:rPr>
  </w:style>
  <w:style w:type="character" w:styleId="HTMLKeyboard">
    <w:name w:val="HTML Keyboard"/>
    <w:basedOn w:val="DefaultParagraphFont"/>
    <w:uiPriority w:val="99"/>
    <w:semiHidden/>
    <w:unhideWhenUsed/>
    <w:rsid w:val="00570B73"/>
    <w:rPr>
      <w:rFonts w:ascii="Consolas" w:hAnsi="Consolas"/>
      <w:sz w:val="20"/>
      <w:szCs w:val="20"/>
    </w:rPr>
  </w:style>
  <w:style w:type="paragraph" w:styleId="HTMLPreformatted">
    <w:name w:val="HTML Preformatted"/>
    <w:basedOn w:val="Normal"/>
    <w:link w:val="HTMLPreformattedChar"/>
    <w:uiPriority w:val="99"/>
    <w:semiHidden/>
    <w:unhideWhenUsed/>
    <w:rsid w:val="00570B73"/>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70B73"/>
    <w:rPr>
      <w:rFonts w:ascii="Consolas" w:hAnsi="Consolas"/>
      <w:sz w:val="20"/>
      <w:szCs w:val="20"/>
    </w:rPr>
  </w:style>
  <w:style w:type="character" w:styleId="HTMLSample">
    <w:name w:val="HTML Sample"/>
    <w:basedOn w:val="DefaultParagraphFont"/>
    <w:uiPriority w:val="99"/>
    <w:semiHidden/>
    <w:unhideWhenUsed/>
    <w:rsid w:val="00570B73"/>
    <w:rPr>
      <w:rFonts w:ascii="Consolas" w:hAnsi="Consolas"/>
      <w:sz w:val="24"/>
      <w:szCs w:val="24"/>
    </w:rPr>
  </w:style>
  <w:style w:type="character" w:styleId="HTMLTypewriter">
    <w:name w:val="HTML Typewriter"/>
    <w:basedOn w:val="DefaultParagraphFont"/>
    <w:uiPriority w:val="99"/>
    <w:semiHidden/>
    <w:unhideWhenUsed/>
    <w:rsid w:val="00570B73"/>
    <w:rPr>
      <w:rFonts w:ascii="Consolas" w:hAnsi="Consolas"/>
      <w:sz w:val="20"/>
      <w:szCs w:val="20"/>
    </w:rPr>
  </w:style>
  <w:style w:type="character" w:styleId="HTMLVariable">
    <w:name w:val="HTML Variable"/>
    <w:basedOn w:val="DefaultParagraphFont"/>
    <w:uiPriority w:val="99"/>
    <w:semiHidden/>
    <w:unhideWhenUsed/>
    <w:rsid w:val="00570B73"/>
    <w:rPr>
      <w:i/>
      <w:iCs/>
    </w:rPr>
  </w:style>
  <w:style w:type="character" w:styleId="Hyperlink">
    <w:name w:val="Hyperlink"/>
    <w:basedOn w:val="DefaultParagraphFont"/>
    <w:uiPriority w:val="99"/>
    <w:unhideWhenUsed/>
    <w:rsid w:val="00570B73"/>
    <w:rPr>
      <w:color w:val="0070C0" w:themeColor="hyperlink"/>
      <w:u w:val="single"/>
    </w:rPr>
  </w:style>
  <w:style w:type="paragraph" w:styleId="Index1">
    <w:name w:val="index 1"/>
    <w:basedOn w:val="Normal"/>
    <w:next w:val="Normal"/>
    <w:autoRedefine/>
    <w:uiPriority w:val="99"/>
    <w:semiHidden/>
    <w:unhideWhenUsed/>
    <w:rsid w:val="00570B73"/>
    <w:pPr>
      <w:ind w:left="220" w:hanging="220"/>
    </w:pPr>
  </w:style>
  <w:style w:type="paragraph" w:styleId="Index2">
    <w:name w:val="index 2"/>
    <w:basedOn w:val="Normal"/>
    <w:next w:val="Normal"/>
    <w:autoRedefine/>
    <w:uiPriority w:val="99"/>
    <w:semiHidden/>
    <w:unhideWhenUsed/>
    <w:rsid w:val="00570B73"/>
    <w:pPr>
      <w:ind w:left="440" w:hanging="220"/>
    </w:pPr>
  </w:style>
  <w:style w:type="paragraph" w:styleId="Index3">
    <w:name w:val="index 3"/>
    <w:basedOn w:val="Normal"/>
    <w:next w:val="Normal"/>
    <w:autoRedefine/>
    <w:uiPriority w:val="99"/>
    <w:semiHidden/>
    <w:unhideWhenUsed/>
    <w:rsid w:val="00570B73"/>
    <w:pPr>
      <w:ind w:left="660" w:hanging="220"/>
    </w:pPr>
  </w:style>
  <w:style w:type="paragraph" w:styleId="Index4">
    <w:name w:val="index 4"/>
    <w:basedOn w:val="Normal"/>
    <w:next w:val="Normal"/>
    <w:autoRedefine/>
    <w:uiPriority w:val="99"/>
    <w:semiHidden/>
    <w:unhideWhenUsed/>
    <w:rsid w:val="00570B73"/>
    <w:pPr>
      <w:ind w:left="880" w:hanging="220"/>
    </w:pPr>
  </w:style>
  <w:style w:type="paragraph" w:styleId="Index5">
    <w:name w:val="index 5"/>
    <w:basedOn w:val="Normal"/>
    <w:next w:val="Normal"/>
    <w:autoRedefine/>
    <w:uiPriority w:val="99"/>
    <w:semiHidden/>
    <w:unhideWhenUsed/>
    <w:rsid w:val="00570B73"/>
    <w:pPr>
      <w:ind w:left="1100" w:hanging="220"/>
    </w:pPr>
  </w:style>
  <w:style w:type="paragraph" w:styleId="Index6">
    <w:name w:val="index 6"/>
    <w:basedOn w:val="Normal"/>
    <w:next w:val="Normal"/>
    <w:autoRedefine/>
    <w:uiPriority w:val="99"/>
    <w:semiHidden/>
    <w:unhideWhenUsed/>
    <w:rsid w:val="00570B73"/>
    <w:pPr>
      <w:ind w:left="1320" w:hanging="220"/>
    </w:pPr>
  </w:style>
  <w:style w:type="paragraph" w:styleId="Index7">
    <w:name w:val="index 7"/>
    <w:basedOn w:val="Normal"/>
    <w:next w:val="Normal"/>
    <w:autoRedefine/>
    <w:uiPriority w:val="99"/>
    <w:semiHidden/>
    <w:unhideWhenUsed/>
    <w:rsid w:val="00570B73"/>
    <w:pPr>
      <w:ind w:left="1540" w:hanging="220"/>
    </w:pPr>
  </w:style>
  <w:style w:type="paragraph" w:styleId="Index8">
    <w:name w:val="index 8"/>
    <w:basedOn w:val="Normal"/>
    <w:next w:val="Normal"/>
    <w:autoRedefine/>
    <w:uiPriority w:val="99"/>
    <w:semiHidden/>
    <w:unhideWhenUsed/>
    <w:rsid w:val="00570B73"/>
    <w:pPr>
      <w:ind w:left="1760" w:hanging="220"/>
    </w:pPr>
  </w:style>
  <w:style w:type="paragraph" w:styleId="Index9">
    <w:name w:val="index 9"/>
    <w:basedOn w:val="Normal"/>
    <w:next w:val="Normal"/>
    <w:autoRedefine/>
    <w:uiPriority w:val="99"/>
    <w:semiHidden/>
    <w:unhideWhenUsed/>
    <w:rsid w:val="00570B73"/>
    <w:pPr>
      <w:ind w:left="1980" w:hanging="220"/>
    </w:pPr>
  </w:style>
  <w:style w:type="paragraph" w:styleId="IndexHeading">
    <w:name w:val="index heading"/>
    <w:basedOn w:val="Normal"/>
    <w:next w:val="Index1"/>
    <w:uiPriority w:val="99"/>
    <w:semiHidden/>
    <w:unhideWhenUsed/>
    <w:rsid w:val="00570B73"/>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570B73"/>
    <w:rPr>
      <w:i/>
      <w:iCs/>
      <w:color w:val="FCB319" w:themeColor="accent1"/>
    </w:rPr>
  </w:style>
  <w:style w:type="paragraph" w:styleId="IntenseQuote">
    <w:name w:val="Intense Quote"/>
    <w:basedOn w:val="Normal"/>
    <w:next w:val="Normal"/>
    <w:link w:val="IntenseQuoteChar"/>
    <w:uiPriority w:val="30"/>
    <w:semiHidden/>
    <w:qFormat/>
    <w:rsid w:val="00570B73"/>
    <w:pPr>
      <w:pBdr>
        <w:top w:val="single" w:sz="4" w:space="10" w:color="FCB319" w:themeColor="accent1"/>
        <w:bottom w:val="single" w:sz="4" w:space="10" w:color="FCB319" w:themeColor="accent1"/>
      </w:pBdr>
      <w:spacing w:before="360" w:after="360"/>
      <w:ind w:left="864" w:right="864"/>
      <w:jc w:val="center"/>
    </w:pPr>
    <w:rPr>
      <w:i/>
      <w:iCs/>
      <w:color w:val="FCB319" w:themeColor="accent1"/>
    </w:rPr>
  </w:style>
  <w:style w:type="character" w:customStyle="1" w:styleId="IntenseQuoteChar">
    <w:name w:val="Intense Quote Char"/>
    <w:basedOn w:val="DefaultParagraphFont"/>
    <w:link w:val="IntenseQuote"/>
    <w:uiPriority w:val="30"/>
    <w:rsid w:val="00570B73"/>
    <w:rPr>
      <w:i/>
      <w:iCs/>
      <w:color w:val="FCB319" w:themeColor="accent1"/>
    </w:rPr>
  </w:style>
  <w:style w:type="character" w:styleId="IntenseReference">
    <w:name w:val="Intense Reference"/>
    <w:basedOn w:val="DefaultParagraphFont"/>
    <w:uiPriority w:val="32"/>
    <w:semiHidden/>
    <w:qFormat/>
    <w:rsid w:val="00570B73"/>
    <w:rPr>
      <w:b/>
      <w:bCs/>
      <w:smallCaps/>
      <w:color w:val="FCB319" w:themeColor="accent1"/>
      <w:spacing w:val="5"/>
    </w:rPr>
  </w:style>
  <w:style w:type="table" w:styleId="LightGrid">
    <w:name w:val="Light Grid"/>
    <w:basedOn w:val="TableNormal"/>
    <w:uiPriority w:val="62"/>
    <w:semiHidden/>
    <w:unhideWhenUsed/>
    <w:rsid w:val="00570B7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70B73"/>
    <w:pPr>
      <w:spacing w:after="0" w:line="240" w:lineRule="auto"/>
    </w:pPr>
    <w:tblPr>
      <w:tblStyleRowBandSize w:val="1"/>
      <w:tblStyleColBandSize w:val="1"/>
      <w:tblBorders>
        <w:top w:val="single" w:sz="8" w:space="0" w:color="FCB319" w:themeColor="accent1"/>
        <w:left w:val="single" w:sz="8" w:space="0" w:color="FCB319" w:themeColor="accent1"/>
        <w:bottom w:val="single" w:sz="8" w:space="0" w:color="FCB319" w:themeColor="accent1"/>
        <w:right w:val="single" w:sz="8" w:space="0" w:color="FCB319" w:themeColor="accent1"/>
        <w:insideH w:val="single" w:sz="8" w:space="0" w:color="FCB319" w:themeColor="accent1"/>
        <w:insideV w:val="single" w:sz="8" w:space="0" w:color="FCB31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B319" w:themeColor="accent1"/>
          <w:left w:val="single" w:sz="8" w:space="0" w:color="FCB319" w:themeColor="accent1"/>
          <w:bottom w:val="single" w:sz="18" w:space="0" w:color="FCB319" w:themeColor="accent1"/>
          <w:right w:val="single" w:sz="8" w:space="0" w:color="FCB319" w:themeColor="accent1"/>
          <w:insideH w:val="nil"/>
          <w:insideV w:val="single" w:sz="8" w:space="0" w:color="FCB31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B319" w:themeColor="accent1"/>
          <w:left w:val="single" w:sz="8" w:space="0" w:color="FCB319" w:themeColor="accent1"/>
          <w:bottom w:val="single" w:sz="8" w:space="0" w:color="FCB319" w:themeColor="accent1"/>
          <w:right w:val="single" w:sz="8" w:space="0" w:color="FCB319" w:themeColor="accent1"/>
          <w:insideH w:val="nil"/>
          <w:insideV w:val="single" w:sz="8" w:space="0" w:color="FCB31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B319" w:themeColor="accent1"/>
          <w:left w:val="single" w:sz="8" w:space="0" w:color="FCB319" w:themeColor="accent1"/>
          <w:bottom w:val="single" w:sz="8" w:space="0" w:color="FCB319" w:themeColor="accent1"/>
          <w:right w:val="single" w:sz="8" w:space="0" w:color="FCB319" w:themeColor="accent1"/>
        </w:tcBorders>
      </w:tcPr>
    </w:tblStylePr>
    <w:tblStylePr w:type="band1Vert">
      <w:tblPr/>
      <w:tcPr>
        <w:tcBorders>
          <w:top w:val="single" w:sz="8" w:space="0" w:color="FCB319" w:themeColor="accent1"/>
          <w:left w:val="single" w:sz="8" w:space="0" w:color="FCB319" w:themeColor="accent1"/>
          <w:bottom w:val="single" w:sz="8" w:space="0" w:color="FCB319" w:themeColor="accent1"/>
          <w:right w:val="single" w:sz="8" w:space="0" w:color="FCB319" w:themeColor="accent1"/>
        </w:tcBorders>
        <w:shd w:val="clear" w:color="auto" w:fill="FEEBC6" w:themeFill="accent1" w:themeFillTint="3F"/>
      </w:tcPr>
    </w:tblStylePr>
    <w:tblStylePr w:type="band1Horz">
      <w:tblPr/>
      <w:tcPr>
        <w:tcBorders>
          <w:top w:val="single" w:sz="8" w:space="0" w:color="FCB319" w:themeColor="accent1"/>
          <w:left w:val="single" w:sz="8" w:space="0" w:color="FCB319" w:themeColor="accent1"/>
          <w:bottom w:val="single" w:sz="8" w:space="0" w:color="FCB319" w:themeColor="accent1"/>
          <w:right w:val="single" w:sz="8" w:space="0" w:color="FCB319" w:themeColor="accent1"/>
          <w:insideV w:val="single" w:sz="8" w:space="0" w:color="FCB319" w:themeColor="accent1"/>
        </w:tcBorders>
        <w:shd w:val="clear" w:color="auto" w:fill="FEEBC6" w:themeFill="accent1" w:themeFillTint="3F"/>
      </w:tcPr>
    </w:tblStylePr>
    <w:tblStylePr w:type="band2Horz">
      <w:tblPr/>
      <w:tcPr>
        <w:tcBorders>
          <w:top w:val="single" w:sz="8" w:space="0" w:color="FCB319" w:themeColor="accent1"/>
          <w:left w:val="single" w:sz="8" w:space="0" w:color="FCB319" w:themeColor="accent1"/>
          <w:bottom w:val="single" w:sz="8" w:space="0" w:color="FCB319" w:themeColor="accent1"/>
          <w:right w:val="single" w:sz="8" w:space="0" w:color="FCB319" w:themeColor="accent1"/>
          <w:insideV w:val="single" w:sz="8" w:space="0" w:color="FCB319" w:themeColor="accent1"/>
        </w:tcBorders>
      </w:tcPr>
    </w:tblStylePr>
  </w:style>
  <w:style w:type="table" w:styleId="LightGrid-Accent2">
    <w:name w:val="Light Grid Accent 2"/>
    <w:basedOn w:val="TableNormal"/>
    <w:uiPriority w:val="62"/>
    <w:semiHidden/>
    <w:unhideWhenUsed/>
    <w:rsid w:val="00570B73"/>
    <w:pPr>
      <w:spacing w:after="0" w:line="240" w:lineRule="auto"/>
    </w:pPr>
    <w:tblPr>
      <w:tblStyleRowBandSize w:val="1"/>
      <w:tblStyleColBandSize w:val="1"/>
      <w:tblBorders>
        <w:top w:val="single" w:sz="8" w:space="0" w:color="E70E8A" w:themeColor="accent2"/>
        <w:left w:val="single" w:sz="8" w:space="0" w:color="E70E8A" w:themeColor="accent2"/>
        <w:bottom w:val="single" w:sz="8" w:space="0" w:color="E70E8A" w:themeColor="accent2"/>
        <w:right w:val="single" w:sz="8" w:space="0" w:color="E70E8A" w:themeColor="accent2"/>
        <w:insideH w:val="single" w:sz="8" w:space="0" w:color="E70E8A" w:themeColor="accent2"/>
        <w:insideV w:val="single" w:sz="8" w:space="0" w:color="E70E8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0E8A" w:themeColor="accent2"/>
          <w:left w:val="single" w:sz="8" w:space="0" w:color="E70E8A" w:themeColor="accent2"/>
          <w:bottom w:val="single" w:sz="18" w:space="0" w:color="E70E8A" w:themeColor="accent2"/>
          <w:right w:val="single" w:sz="8" w:space="0" w:color="E70E8A" w:themeColor="accent2"/>
          <w:insideH w:val="nil"/>
          <w:insideV w:val="single" w:sz="8" w:space="0" w:color="E70E8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0E8A" w:themeColor="accent2"/>
          <w:left w:val="single" w:sz="8" w:space="0" w:color="E70E8A" w:themeColor="accent2"/>
          <w:bottom w:val="single" w:sz="8" w:space="0" w:color="E70E8A" w:themeColor="accent2"/>
          <w:right w:val="single" w:sz="8" w:space="0" w:color="E70E8A" w:themeColor="accent2"/>
          <w:insideH w:val="nil"/>
          <w:insideV w:val="single" w:sz="8" w:space="0" w:color="E70E8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0E8A" w:themeColor="accent2"/>
          <w:left w:val="single" w:sz="8" w:space="0" w:color="E70E8A" w:themeColor="accent2"/>
          <w:bottom w:val="single" w:sz="8" w:space="0" w:color="E70E8A" w:themeColor="accent2"/>
          <w:right w:val="single" w:sz="8" w:space="0" w:color="E70E8A" w:themeColor="accent2"/>
        </w:tcBorders>
      </w:tcPr>
    </w:tblStylePr>
    <w:tblStylePr w:type="band1Vert">
      <w:tblPr/>
      <w:tcPr>
        <w:tcBorders>
          <w:top w:val="single" w:sz="8" w:space="0" w:color="E70E8A" w:themeColor="accent2"/>
          <w:left w:val="single" w:sz="8" w:space="0" w:color="E70E8A" w:themeColor="accent2"/>
          <w:bottom w:val="single" w:sz="8" w:space="0" w:color="E70E8A" w:themeColor="accent2"/>
          <w:right w:val="single" w:sz="8" w:space="0" w:color="E70E8A" w:themeColor="accent2"/>
        </w:tcBorders>
        <w:shd w:val="clear" w:color="auto" w:fill="FBC1E2" w:themeFill="accent2" w:themeFillTint="3F"/>
      </w:tcPr>
    </w:tblStylePr>
    <w:tblStylePr w:type="band1Horz">
      <w:tblPr/>
      <w:tcPr>
        <w:tcBorders>
          <w:top w:val="single" w:sz="8" w:space="0" w:color="E70E8A" w:themeColor="accent2"/>
          <w:left w:val="single" w:sz="8" w:space="0" w:color="E70E8A" w:themeColor="accent2"/>
          <w:bottom w:val="single" w:sz="8" w:space="0" w:color="E70E8A" w:themeColor="accent2"/>
          <w:right w:val="single" w:sz="8" w:space="0" w:color="E70E8A" w:themeColor="accent2"/>
          <w:insideV w:val="single" w:sz="8" w:space="0" w:color="E70E8A" w:themeColor="accent2"/>
        </w:tcBorders>
        <w:shd w:val="clear" w:color="auto" w:fill="FBC1E2" w:themeFill="accent2" w:themeFillTint="3F"/>
      </w:tcPr>
    </w:tblStylePr>
    <w:tblStylePr w:type="band2Horz">
      <w:tblPr/>
      <w:tcPr>
        <w:tcBorders>
          <w:top w:val="single" w:sz="8" w:space="0" w:color="E70E8A" w:themeColor="accent2"/>
          <w:left w:val="single" w:sz="8" w:space="0" w:color="E70E8A" w:themeColor="accent2"/>
          <w:bottom w:val="single" w:sz="8" w:space="0" w:color="E70E8A" w:themeColor="accent2"/>
          <w:right w:val="single" w:sz="8" w:space="0" w:color="E70E8A" w:themeColor="accent2"/>
          <w:insideV w:val="single" w:sz="8" w:space="0" w:color="E70E8A" w:themeColor="accent2"/>
        </w:tcBorders>
      </w:tcPr>
    </w:tblStylePr>
  </w:style>
  <w:style w:type="table" w:styleId="LightGrid-Accent3">
    <w:name w:val="Light Grid Accent 3"/>
    <w:basedOn w:val="TableNormal"/>
    <w:uiPriority w:val="62"/>
    <w:semiHidden/>
    <w:unhideWhenUsed/>
    <w:rsid w:val="00570B73"/>
    <w:pPr>
      <w:spacing w:after="0" w:line="240" w:lineRule="auto"/>
    </w:pPr>
    <w:tblPr>
      <w:tblStyleRowBandSize w:val="1"/>
      <w:tblStyleColBandSize w:val="1"/>
      <w:tblBorders>
        <w:top w:val="single" w:sz="8" w:space="0" w:color="00B3E4" w:themeColor="accent3"/>
        <w:left w:val="single" w:sz="8" w:space="0" w:color="00B3E4" w:themeColor="accent3"/>
        <w:bottom w:val="single" w:sz="8" w:space="0" w:color="00B3E4" w:themeColor="accent3"/>
        <w:right w:val="single" w:sz="8" w:space="0" w:color="00B3E4" w:themeColor="accent3"/>
        <w:insideH w:val="single" w:sz="8" w:space="0" w:color="00B3E4" w:themeColor="accent3"/>
        <w:insideV w:val="single" w:sz="8" w:space="0" w:color="00B3E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3E4" w:themeColor="accent3"/>
          <w:left w:val="single" w:sz="8" w:space="0" w:color="00B3E4" w:themeColor="accent3"/>
          <w:bottom w:val="single" w:sz="18" w:space="0" w:color="00B3E4" w:themeColor="accent3"/>
          <w:right w:val="single" w:sz="8" w:space="0" w:color="00B3E4" w:themeColor="accent3"/>
          <w:insideH w:val="nil"/>
          <w:insideV w:val="single" w:sz="8" w:space="0" w:color="00B3E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3E4" w:themeColor="accent3"/>
          <w:left w:val="single" w:sz="8" w:space="0" w:color="00B3E4" w:themeColor="accent3"/>
          <w:bottom w:val="single" w:sz="8" w:space="0" w:color="00B3E4" w:themeColor="accent3"/>
          <w:right w:val="single" w:sz="8" w:space="0" w:color="00B3E4" w:themeColor="accent3"/>
          <w:insideH w:val="nil"/>
          <w:insideV w:val="single" w:sz="8" w:space="0" w:color="00B3E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3E4" w:themeColor="accent3"/>
          <w:left w:val="single" w:sz="8" w:space="0" w:color="00B3E4" w:themeColor="accent3"/>
          <w:bottom w:val="single" w:sz="8" w:space="0" w:color="00B3E4" w:themeColor="accent3"/>
          <w:right w:val="single" w:sz="8" w:space="0" w:color="00B3E4" w:themeColor="accent3"/>
        </w:tcBorders>
      </w:tcPr>
    </w:tblStylePr>
    <w:tblStylePr w:type="band1Vert">
      <w:tblPr/>
      <w:tcPr>
        <w:tcBorders>
          <w:top w:val="single" w:sz="8" w:space="0" w:color="00B3E4" w:themeColor="accent3"/>
          <w:left w:val="single" w:sz="8" w:space="0" w:color="00B3E4" w:themeColor="accent3"/>
          <w:bottom w:val="single" w:sz="8" w:space="0" w:color="00B3E4" w:themeColor="accent3"/>
          <w:right w:val="single" w:sz="8" w:space="0" w:color="00B3E4" w:themeColor="accent3"/>
        </w:tcBorders>
        <w:shd w:val="clear" w:color="auto" w:fill="B9EFFF" w:themeFill="accent3" w:themeFillTint="3F"/>
      </w:tcPr>
    </w:tblStylePr>
    <w:tblStylePr w:type="band1Horz">
      <w:tblPr/>
      <w:tcPr>
        <w:tcBorders>
          <w:top w:val="single" w:sz="8" w:space="0" w:color="00B3E4" w:themeColor="accent3"/>
          <w:left w:val="single" w:sz="8" w:space="0" w:color="00B3E4" w:themeColor="accent3"/>
          <w:bottom w:val="single" w:sz="8" w:space="0" w:color="00B3E4" w:themeColor="accent3"/>
          <w:right w:val="single" w:sz="8" w:space="0" w:color="00B3E4" w:themeColor="accent3"/>
          <w:insideV w:val="single" w:sz="8" w:space="0" w:color="00B3E4" w:themeColor="accent3"/>
        </w:tcBorders>
        <w:shd w:val="clear" w:color="auto" w:fill="B9EFFF" w:themeFill="accent3" w:themeFillTint="3F"/>
      </w:tcPr>
    </w:tblStylePr>
    <w:tblStylePr w:type="band2Horz">
      <w:tblPr/>
      <w:tcPr>
        <w:tcBorders>
          <w:top w:val="single" w:sz="8" w:space="0" w:color="00B3E4" w:themeColor="accent3"/>
          <w:left w:val="single" w:sz="8" w:space="0" w:color="00B3E4" w:themeColor="accent3"/>
          <w:bottom w:val="single" w:sz="8" w:space="0" w:color="00B3E4" w:themeColor="accent3"/>
          <w:right w:val="single" w:sz="8" w:space="0" w:color="00B3E4" w:themeColor="accent3"/>
          <w:insideV w:val="single" w:sz="8" w:space="0" w:color="00B3E4" w:themeColor="accent3"/>
        </w:tcBorders>
      </w:tcPr>
    </w:tblStylePr>
  </w:style>
  <w:style w:type="table" w:styleId="LightGrid-Accent4">
    <w:name w:val="Light Grid Accent 4"/>
    <w:basedOn w:val="TableNormal"/>
    <w:uiPriority w:val="62"/>
    <w:semiHidden/>
    <w:unhideWhenUsed/>
    <w:rsid w:val="00570B73"/>
    <w:pPr>
      <w:spacing w:after="0" w:line="240" w:lineRule="auto"/>
    </w:pPr>
    <w:tblPr>
      <w:tblStyleRowBandSize w:val="1"/>
      <w:tblStyleColBandSize w:val="1"/>
      <w:tblBorders>
        <w:top w:val="single" w:sz="8" w:space="0" w:color="8BC640" w:themeColor="accent4"/>
        <w:left w:val="single" w:sz="8" w:space="0" w:color="8BC640" w:themeColor="accent4"/>
        <w:bottom w:val="single" w:sz="8" w:space="0" w:color="8BC640" w:themeColor="accent4"/>
        <w:right w:val="single" w:sz="8" w:space="0" w:color="8BC640" w:themeColor="accent4"/>
        <w:insideH w:val="single" w:sz="8" w:space="0" w:color="8BC640" w:themeColor="accent4"/>
        <w:insideV w:val="single" w:sz="8" w:space="0" w:color="8BC64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BC640" w:themeColor="accent4"/>
          <w:left w:val="single" w:sz="8" w:space="0" w:color="8BC640" w:themeColor="accent4"/>
          <w:bottom w:val="single" w:sz="18" w:space="0" w:color="8BC640" w:themeColor="accent4"/>
          <w:right w:val="single" w:sz="8" w:space="0" w:color="8BC640" w:themeColor="accent4"/>
          <w:insideH w:val="nil"/>
          <w:insideV w:val="single" w:sz="8" w:space="0" w:color="8BC64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BC640" w:themeColor="accent4"/>
          <w:left w:val="single" w:sz="8" w:space="0" w:color="8BC640" w:themeColor="accent4"/>
          <w:bottom w:val="single" w:sz="8" w:space="0" w:color="8BC640" w:themeColor="accent4"/>
          <w:right w:val="single" w:sz="8" w:space="0" w:color="8BC640" w:themeColor="accent4"/>
          <w:insideH w:val="nil"/>
          <w:insideV w:val="single" w:sz="8" w:space="0" w:color="8BC64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BC640" w:themeColor="accent4"/>
          <w:left w:val="single" w:sz="8" w:space="0" w:color="8BC640" w:themeColor="accent4"/>
          <w:bottom w:val="single" w:sz="8" w:space="0" w:color="8BC640" w:themeColor="accent4"/>
          <w:right w:val="single" w:sz="8" w:space="0" w:color="8BC640" w:themeColor="accent4"/>
        </w:tcBorders>
      </w:tcPr>
    </w:tblStylePr>
    <w:tblStylePr w:type="band1Vert">
      <w:tblPr/>
      <w:tcPr>
        <w:tcBorders>
          <w:top w:val="single" w:sz="8" w:space="0" w:color="8BC640" w:themeColor="accent4"/>
          <w:left w:val="single" w:sz="8" w:space="0" w:color="8BC640" w:themeColor="accent4"/>
          <w:bottom w:val="single" w:sz="8" w:space="0" w:color="8BC640" w:themeColor="accent4"/>
          <w:right w:val="single" w:sz="8" w:space="0" w:color="8BC640" w:themeColor="accent4"/>
        </w:tcBorders>
        <w:shd w:val="clear" w:color="auto" w:fill="E2F1CF" w:themeFill="accent4" w:themeFillTint="3F"/>
      </w:tcPr>
    </w:tblStylePr>
    <w:tblStylePr w:type="band1Horz">
      <w:tblPr/>
      <w:tcPr>
        <w:tcBorders>
          <w:top w:val="single" w:sz="8" w:space="0" w:color="8BC640" w:themeColor="accent4"/>
          <w:left w:val="single" w:sz="8" w:space="0" w:color="8BC640" w:themeColor="accent4"/>
          <w:bottom w:val="single" w:sz="8" w:space="0" w:color="8BC640" w:themeColor="accent4"/>
          <w:right w:val="single" w:sz="8" w:space="0" w:color="8BC640" w:themeColor="accent4"/>
          <w:insideV w:val="single" w:sz="8" w:space="0" w:color="8BC640" w:themeColor="accent4"/>
        </w:tcBorders>
        <w:shd w:val="clear" w:color="auto" w:fill="E2F1CF" w:themeFill="accent4" w:themeFillTint="3F"/>
      </w:tcPr>
    </w:tblStylePr>
    <w:tblStylePr w:type="band2Horz">
      <w:tblPr/>
      <w:tcPr>
        <w:tcBorders>
          <w:top w:val="single" w:sz="8" w:space="0" w:color="8BC640" w:themeColor="accent4"/>
          <w:left w:val="single" w:sz="8" w:space="0" w:color="8BC640" w:themeColor="accent4"/>
          <w:bottom w:val="single" w:sz="8" w:space="0" w:color="8BC640" w:themeColor="accent4"/>
          <w:right w:val="single" w:sz="8" w:space="0" w:color="8BC640" w:themeColor="accent4"/>
          <w:insideV w:val="single" w:sz="8" w:space="0" w:color="8BC640" w:themeColor="accent4"/>
        </w:tcBorders>
      </w:tcPr>
    </w:tblStylePr>
  </w:style>
  <w:style w:type="table" w:styleId="LightGrid-Accent5">
    <w:name w:val="Light Grid Accent 5"/>
    <w:basedOn w:val="TableNormal"/>
    <w:uiPriority w:val="62"/>
    <w:semiHidden/>
    <w:unhideWhenUsed/>
    <w:rsid w:val="00570B73"/>
    <w:pPr>
      <w:spacing w:after="0" w:line="240" w:lineRule="auto"/>
    </w:pPr>
    <w:tblPr>
      <w:tblStyleRowBandSize w:val="1"/>
      <w:tblStyleColBandSize w:val="1"/>
      <w:tblBorders>
        <w:top w:val="single" w:sz="8" w:space="0" w:color="EF3942" w:themeColor="accent5"/>
        <w:left w:val="single" w:sz="8" w:space="0" w:color="EF3942" w:themeColor="accent5"/>
        <w:bottom w:val="single" w:sz="8" w:space="0" w:color="EF3942" w:themeColor="accent5"/>
        <w:right w:val="single" w:sz="8" w:space="0" w:color="EF3942" w:themeColor="accent5"/>
        <w:insideH w:val="single" w:sz="8" w:space="0" w:color="EF3942" w:themeColor="accent5"/>
        <w:insideV w:val="single" w:sz="8" w:space="0" w:color="EF39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3942" w:themeColor="accent5"/>
          <w:left w:val="single" w:sz="8" w:space="0" w:color="EF3942" w:themeColor="accent5"/>
          <w:bottom w:val="single" w:sz="18" w:space="0" w:color="EF3942" w:themeColor="accent5"/>
          <w:right w:val="single" w:sz="8" w:space="0" w:color="EF3942" w:themeColor="accent5"/>
          <w:insideH w:val="nil"/>
          <w:insideV w:val="single" w:sz="8" w:space="0" w:color="EF39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3942" w:themeColor="accent5"/>
          <w:left w:val="single" w:sz="8" w:space="0" w:color="EF3942" w:themeColor="accent5"/>
          <w:bottom w:val="single" w:sz="8" w:space="0" w:color="EF3942" w:themeColor="accent5"/>
          <w:right w:val="single" w:sz="8" w:space="0" w:color="EF3942" w:themeColor="accent5"/>
          <w:insideH w:val="nil"/>
          <w:insideV w:val="single" w:sz="8" w:space="0" w:color="EF39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3942" w:themeColor="accent5"/>
          <w:left w:val="single" w:sz="8" w:space="0" w:color="EF3942" w:themeColor="accent5"/>
          <w:bottom w:val="single" w:sz="8" w:space="0" w:color="EF3942" w:themeColor="accent5"/>
          <w:right w:val="single" w:sz="8" w:space="0" w:color="EF3942" w:themeColor="accent5"/>
        </w:tcBorders>
      </w:tcPr>
    </w:tblStylePr>
    <w:tblStylePr w:type="band1Vert">
      <w:tblPr/>
      <w:tcPr>
        <w:tcBorders>
          <w:top w:val="single" w:sz="8" w:space="0" w:color="EF3942" w:themeColor="accent5"/>
          <w:left w:val="single" w:sz="8" w:space="0" w:color="EF3942" w:themeColor="accent5"/>
          <w:bottom w:val="single" w:sz="8" w:space="0" w:color="EF3942" w:themeColor="accent5"/>
          <w:right w:val="single" w:sz="8" w:space="0" w:color="EF3942" w:themeColor="accent5"/>
        </w:tcBorders>
        <w:shd w:val="clear" w:color="auto" w:fill="FBCDCF" w:themeFill="accent5" w:themeFillTint="3F"/>
      </w:tcPr>
    </w:tblStylePr>
    <w:tblStylePr w:type="band1Horz">
      <w:tblPr/>
      <w:tcPr>
        <w:tcBorders>
          <w:top w:val="single" w:sz="8" w:space="0" w:color="EF3942" w:themeColor="accent5"/>
          <w:left w:val="single" w:sz="8" w:space="0" w:color="EF3942" w:themeColor="accent5"/>
          <w:bottom w:val="single" w:sz="8" w:space="0" w:color="EF3942" w:themeColor="accent5"/>
          <w:right w:val="single" w:sz="8" w:space="0" w:color="EF3942" w:themeColor="accent5"/>
          <w:insideV w:val="single" w:sz="8" w:space="0" w:color="EF3942" w:themeColor="accent5"/>
        </w:tcBorders>
        <w:shd w:val="clear" w:color="auto" w:fill="FBCDCF" w:themeFill="accent5" w:themeFillTint="3F"/>
      </w:tcPr>
    </w:tblStylePr>
    <w:tblStylePr w:type="band2Horz">
      <w:tblPr/>
      <w:tcPr>
        <w:tcBorders>
          <w:top w:val="single" w:sz="8" w:space="0" w:color="EF3942" w:themeColor="accent5"/>
          <w:left w:val="single" w:sz="8" w:space="0" w:color="EF3942" w:themeColor="accent5"/>
          <w:bottom w:val="single" w:sz="8" w:space="0" w:color="EF3942" w:themeColor="accent5"/>
          <w:right w:val="single" w:sz="8" w:space="0" w:color="EF3942" w:themeColor="accent5"/>
          <w:insideV w:val="single" w:sz="8" w:space="0" w:color="EF3942" w:themeColor="accent5"/>
        </w:tcBorders>
      </w:tcPr>
    </w:tblStylePr>
  </w:style>
  <w:style w:type="table" w:styleId="LightGrid-Accent6">
    <w:name w:val="Light Grid Accent 6"/>
    <w:basedOn w:val="TableNormal"/>
    <w:uiPriority w:val="62"/>
    <w:semiHidden/>
    <w:unhideWhenUsed/>
    <w:rsid w:val="00570B73"/>
    <w:pPr>
      <w:spacing w:after="0" w:line="240" w:lineRule="auto"/>
    </w:pPr>
    <w:tblPr>
      <w:tblStyleRowBandSize w:val="1"/>
      <w:tblStyleColBandSize w:val="1"/>
      <w:tblBorders>
        <w:top w:val="single" w:sz="8" w:space="0" w:color="FDDB03" w:themeColor="accent6"/>
        <w:left w:val="single" w:sz="8" w:space="0" w:color="FDDB03" w:themeColor="accent6"/>
        <w:bottom w:val="single" w:sz="8" w:space="0" w:color="FDDB03" w:themeColor="accent6"/>
        <w:right w:val="single" w:sz="8" w:space="0" w:color="FDDB03" w:themeColor="accent6"/>
        <w:insideH w:val="single" w:sz="8" w:space="0" w:color="FDDB03" w:themeColor="accent6"/>
        <w:insideV w:val="single" w:sz="8" w:space="0" w:color="FDDB0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DB03" w:themeColor="accent6"/>
          <w:left w:val="single" w:sz="8" w:space="0" w:color="FDDB03" w:themeColor="accent6"/>
          <w:bottom w:val="single" w:sz="18" w:space="0" w:color="FDDB03" w:themeColor="accent6"/>
          <w:right w:val="single" w:sz="8" w:space="0" w:color="FDDB03" w:themeColor="accent6"/>
          <w:insideH w:val="nil"/>
          <w:insideV w:val="single" w:sz="8" w:space="0" w:color="FDDB0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DB03" w:themeColor="accent6"/>
          <w:left w:val="single" w:sz="8" w:space="0" w:color="FDDB03" w:themeColor="accent6"/>
          <w:bottom w:val="single" w:sz="8" w:space="0" w:color="FDDB03" w:themeColor="accent6"/>
          <w:right w:val="single" w:sz="8" w:space="0" w:color="FDDB03" w:themeColor="accent6"/>
          <w:insideH w:val="nil"/>
          <w:insideV w:val="single" w:sz="8" w:space="0" w:color="FDDB0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DB03" w:themeColor="accent6"/>
          <w:left w:val="single" w:sz="8" w:space="0" w:color="FDDB03" w:themeColor="accent6"/>
          <w:bottom w:val="single" w:sz="8" w:space="0" w:color="FDDB03" w:themeColor="accent6"/>
          <w:right w:val="single" w:sz="8" w:space="0" w:color="FDDB03" w:themeColor="accent6"/>
        </w:tcBorders>
      </w:tcPr>
    </w:tblStylePr>
    <w:tblStylePr w:type="band1Vert">
      <w:tblPr/>
      <w:tcPr>
        <w:tcBorders>
          <w:top w:val="single" w:sz="8" w:space="0" w:color="FDDB03" w:themeColor="accent6"/>
          <w:left w:val="single" w:sz="8" w:space="0" w:color="FDDB03" w:themeColor="accent6"/>
          <w:bottom w:val="single" w:sz="8" w:space="0" w:color="FDDB03" w:themeColor="accent6"/>
          <w:right w:val="single" w:sz="8" w:space="0" w:color="FDDB03" w:themeColor="accent6"/>
        </w:tcBorders>
        <w:shd w:val="clear" w:color="auto" w:fill="FEF5C0" w:themeFill="accent6" w:themeFillTint="3F"/>
      </w:tcPr>
    </w:tblStylePr>
    <w:tblStylePr w:type="band1Horz">
      <w:tblPr/>
      <w:tcPr>
        <w:tcBorders>
          <w:top w:val="single" w:sz="8" w:space="0" w:color="FDDB03" w:themeColor="accent6"/>
          <w:left w:val="single" w:sz="8" w:space="0" w:color="FDDB03" w:themeColor="accent6"/>
          <w:bottom w:val="single" w:sz="8" w:space="0" w:color="FDDB03" w:themeColor="accent6"/>
          <w:right w:val="single" w:sz="8" w:space="0" w:color="FDDB03" w:themeColor="accent6"/>
          <w:insideV w:val="single" w:sz="8" w:space="0" w:color="FDDB03" w:themeColor="accent6"/>
        </w:tcBorders>
        <w:shd w:val="clear" w:color="auto" w:fill="FEF5C0" w:themeFill="accent6" w:themeFillTint="3F"/>
      </w:tcPr>
    </w:tblStylePr>
    <w:tblStylePr w:type="band2Horz">
      <w:tblPr/>
      <w:tcPr>
        <w:tcBorders>
          <w:top w:val="single" w:sz="8" w:space="0" w:color="FDDB03" w:themeColor="accent6"/>
          <w:left w:val="single" w:sz="8" w:space="0" w:color="FDDB03" w:themeColor="accent6"/>
          <w:bottom w:val="single" w:sz="8" w:space="0" w:color="FDDB03" w:themeColor="accent6"/>
          <w:right w:val="single" w:sz="8" w:space="0" w:color="FDDB03" w:themeColor="accent6"/>
          <w:insideV w:val="single" w:sz="8" w:space="0" w:color="FDDB03" w:themeColor="accent6"/>
        </w:tcBorders>
      </w:tcPr>
    </w:tblStylePr>
  </w:style>
  <w:style w:type="table" w:styleId="LightList">
    <w:name w:val="Light List"/>
    <w:basedOn w:val="TableNormal"/>
    <w:uiPriority w:val="61"/>
    <w:semiHidden/>
    <w:unhideWhenUsed/>
    <w:rsid w:val="00570B7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70B73"/>
    <w:pPr>
      <w:spacing w:after="0" w:line="240" w:lineRule="auto"/>
    </w:pPr>
    <w:tblPr>
      <w:tblStyleRowBandSize w:val="1"/>
      <w:tblStyleColBandSize w:val="1"/>
      <w:tblBorders>
        <w:top w:val="single" w:sz="8" w:space="0" w:color="FCB319" w:themeColor="accent1"/>
        <w:left w:val="single" w:sz="8" w:space="0" w:color="FCB319" w:themeColor="accent1"/>
        <w:bottom w:val="single" w:sz="8" w:space="0" w:color="FCB319" w:themeColor="accent1"/>
        <w:right w:val="single" w:sz="8" w:space="0" w:color="FCB319" w:themeColor="accent1"/>
      </w:tblBorders>
    </w:tblPr>
    <w:tblStylePr w:type="firstRow">
      <w:pPr>
        <w:spacing w:before="0" w:after="0" w:line="240" w:lineRule="auto"/>
      </w:pPr>
      <w:rPr>
        <w:b/>
        <w:bCs/>
        <w:color w:val="FFFFFF" w:themeColor="background1"/>
      </w:rPr>
      <w:tblPr/>
      <w:tcPr>
        <w:shd w:val="clear" w:color="auto" w:fill="FCB319" w:themeFill="accent1"/>
      </w:tcPr>
    </w:tblStylePr>
    <w:tblStylePr w:type="lastRow">
      <w:pPr>
        <w:spacing w:before="0" w:after="0" w:line="240" w:lineRule="auto"/>
      </w:pPr>
      <w:rPr>
        <w:b/>
        <w:bCs/>
      </w:rPr>
      <w:tblPr/>
      <w:tcPr>
        <w:tcBorders>
          <w:top w:val="double" w:sz="6" w:space="0" w:color="FCB319" w:themeColor="accent1"/>
          <w:left w:val="single" w:sz="8" w:space="0" w:color="FCB319" w:themeColor="accent1"/>
          <w:bottom w:val="single" w:sz="8" w:space="0" w:color="FCB319" w:themeColor="accent1"/>
          <w:right w:val="single" w:sz="8" w:space="0" w:color="FCB319" w:themeColor="accent1"/>
        </w:tcBorders>
      </w:tcPr>
    </w:tblStylePr>
    <w:tblStylePr w:type="firstCol">
      <w:rPr>
        <w:b/>
        <w:bCs/>
      </w:rPr>
    </w:tblStylePr>
    <w:tblStylePr w:type="lastCol">
      <w:rPr>
        <w:b/>
        <w:bCs/>
      </w:rPr>
    </w:tblStylePr>
    <w:tblStylePr w:type="band1Vert">
      <w:tblPr/>
      <w:tcPr>
        <w:tcBorders>
          <w:top w:val="single" w:sz="8" w:space="0" w:color="FCB319" w:themeColor="accent1"/>
          <w:left w:val="single" w:sz="8" w:space="0" w:color="FCB319" w:themeColor="accent1"/>
          <w:bottom w:val="single" w:sz="8" w:space="0" w:color="FCB319" w:themeColor="accent1"/>
          <w:right w:val="single" w:sz="8" w:space="0" w:color="FCB319" w:themeColor="accent1"/>
        </w:tcBorders>
      </w:tcPr>
    </w:tblStylePr>
    <w:tblStylePr w:type="band1Horz">
      <w:tblPr/>
      <w:tcPr>
        <w:tcBorders>
          <w:top w:val="single" w:sz="8" w:space="0" w:color="FCB319" w:themeColor="accent1"/>
          <w:left w:val="single" w:sz="8" w:space="0" w:color="FCB319" w:themeColor="accent1"/>
          <w:bottom w:val="single" w:sz="8" w:space="0" w:color="FCB319" w:themeColor="accent1"/>
          <w:right w:val="single" w:sz="8" w:space="0" w:color="FCB319" w:themeColor="accent1"/>
        </w:tcBorders>
      </w:tcPr>
    </w:tblStylePr>
  </w:style>
  <w:style w:type="table" w:styleId="LightList-Accent2">
    <w:name w:val="Light List Accent 2"/>
    <w:basedOn w:val="TableNormal"/>
    <w:uiPriority w:val="61"/>
    <w:semiHidden/>
    <w:unhideWhenUsed/>
    <w:rsid w:val="00570B73"/>
    <w:pPr>
      <w:spacing w:after="0" w:line="240" w:lineRule="auto"/>
    </w:pPr>
    <w:tblPr>
      <w:tblStyleRowBandSize w:val="1"/>
      <w:tblStyleColBandSize w:val="1"/>
      <w:tblBorders>
        <w:top w:val="single" w:sz="8" w:space="0" w:color="E70E8A" w:themeColor="accent2"/>
        <w:left w:val="single" w:sz="8" w:space="0" w:color="E70E8A" w:themeColor="accent2"/>
        <w:bottom w:val="single" w:sz="8" w:space="0" w:color="E70E8A" w:themeColor="accent2"/>
        <w:right w:val="single" w:sz="8" w:space="0" w:color="E70E8A" w:themeColor="accent2"/>
      </w:tblBorders>
    </w:tblPr>
    <w:tblStylePr w:type="firstRow">
      <w:pPr>
        <w:spacing w:before="0" w:after="0" w:line="240" w:lineRule="auto"/>
      </w:pPr>
      <w:rPr>
        <w:b/>
        <w:bCs/>
        <w:color w:val="FFFFFF" w:themeColor="background1"/>
      </w:rPr>
      <w:tblPr/>
      <w:tcPr>
        <w:shd w:val="clear" w:color="auto" w:fill="E70E8A" w:themeFill="accent2"/>
      </w:tcPr>
    </w:tblStylePr>
    <w:tblStylePr w:type="lastRow">
      <w:pPr>
        <w:spacing w:before="0" w:after="0" w:line="240" w:lineRule="auto"/>
      </w:pPr>
      <w:rPr>
        <w:b/>
        <w:bCs/>
      </w:rPr>
      <w:tblPr/>
      <w:tcPr>
        <w:tcBorders>
          <w:top w:val="double" w:sz="6" w:space="0" w:color="E70E8A" w:themeColor="accent2"/>
          <w:left w:val="single" w:sz="8" w:space="0" w:color="E70E8A" w:themeColor="accent2"/>
          <w:bottom w:val="single" w:sz="8" w:space="0" w:color="E70E8A" w:themeColor="accent2"/>
          <w:right w:val="single" w:sz="8" w:space="0" w:color="E70E8A" w:themeColor="accent2"/>
        </w:tcBorders>
      </w:tcPr>
    </w:tblStylePr>
    <w:tblStylePr w:type="firstCol">
      <w:rPr>
        <w:b/>
        <w:bCs/>
      </w:rPr>
    </w:tblStylePr>
    <w:tblStylePr w:type="lastCol">
      <w:rPr>
        <w:b/>
        <w:bCs/>
      </w:rPr>
    </w:tblStylePr>
    <w:tblStylePr w:type="band1Vert">
      <w:tblPr/>
      <w:tcPr>
        <w:tcBorders>
          <w:top w:val="single" w:sz="8" w:space="0" w:color="E70E8A" w:themeColor="accent2"/>
          <w:left w:val="single" w:sz="8" w:space="0" w:color="E70E8A" w:themeColor="accent2"/>
          <w:bottom w:val="single" w:sz="8" w:space="0" w:color="E70E8A" w:themeColor="accent2"/>
          <w:right w:val="single" w:sz="8" w:space="0" w:color="E70E8A" w:themeColor="accent2"/>
        </w:tcBorders>
      </w:tcPr>
    </w:tblStylePr>
    <w:tblStylePr w:type="band1Horz">
      <w:tblPr/>
      <w:tcPr>
        <w:tcBorders>
          <w:top w:val="single" w:sz="8" w:space="0" w:color="E70E8A" w:themeColor="accent2"/>
          <w:left w:val="single" w:sz="8" w:space="0" w:color="E70E8A" w:themeColor="accent2"/>
          <w:bottom w:val="single" w:sz="8" w:space="0" w:color="E70E8A" w:themeColor="accent2"/>
          <w:right w:val="single" w:sz="8" w:space="0" w:color="E70E8A" w:themeColor="accent2"/>
        </w:tcBorders>
      </w:tcPr>
    </w:tblStylePr>
  </w:style>
  <w:style w:type="table" w:styleId="LightList-Accent3">
    <w:name w:val="Light List Accent 3"/>
    <w:basedOn w:val="TableNormal"/>
    <w:uiPriority w:val="61"/>
    <w:semiHidden/>
    <w:unhideWhenUsed/>
    <w:rsid w:val="00570B73"/>
    <w:pPr>
      <w:spacing w:after="0" w:line="240" w:lineRule="auto"/>
    </w:pPr>
    <w:tblPr>
      <w:tblStyleRowBandSize w:val="1"/>
      <w:tblStyleColBandSize w:val="1"/>
      <w:tblBorders>
        <w:top w:val="single" w:sz="8" w:space="0" w:color="00B3E4" w:themeColor="accent3"/>
        <w:left w:val="single" w:sz="8" w:space="0" w:color="00B3E4" w:themeColor="accent3"/>
        <w:bottom w:val="single" w:sz="8" w:space="0" w:color="00B3E4" w:themeColor="accent3"/>
        <w:right w:val="single" w:sz="8" w:space="0" w:color="00B3E4" w:themeColor="accent3"/>
      </w:tblBorders>
    </w:tblPr>
    <w:tblStylePr w:type="firstRow">
      <w:pPr>
        <w:spacing w:before="0" w:after="0" w:line="240" w:lineRule="auto"/>
      </w:pPr>
      <w:rPr>
        <w:b/>
        <w:bCs/>
        <w:color w:val="FFFFFF" w:themeColor="background1"/>
      </w:rPr>
      <w:tblPr/>
      <w:tcPr>
        <w:shd w:val="clear" w:color="auto" w:fill="00B3E4" w:themeFill="accent3"/>
      </w:tcPr>
    </w:tblStylePr>
    <w:tblStylePr w:type="lastRow">
      <w:pPr>
        <w:spacing w:before="0" w:after="0" w:line="240" w:lineRule="auto"/>
      </w:pPr>
      <w:rPr>
        <w:b/>
        <w:bCs/>
      </w:rPr>
      <w:tblPr/>
      <w:tcPr>
        <w:tcBorders>
          <w:top w:val="double" w:sz="6" w:space="0" w:color="00B3E4" w:themeColor="accent3"/>
          <w:left w:val="single" w:sz="8" w:space="0" w:color="00B3E4" w:themeColor="accent3"/>
          <w:bottom w:val="single" w:sz="8" w:space="0" w:color="00B3E4" w:themeColor="accent3"/>
          <w:right w:val="single" w:sz="8" w:space="0" w:color="00B3E4" w:themeColor="accent3"/>
        </w:tcBorders>
      </w:tcPr>
    </w:tblStylePr>
    <w:tblStylePr w:type="firstCol">
      <w:rPr>
        <w:b/>
        <w:bCs/>
      </w:rPr>
    </w:tblStylePr>
    <w:tblStylePr w:type="lastCol">
      <w:rPr>
        <w:b/>
        <w:bCs/>
      </w:rPr>
    </w:tblStylePr>
    <w:tblStylePr w:type="band1Vert">
      <w:tblPr/>
      <w:tcPr>
        <w:tcBorders>
          <w:top w:val="single" w:sz="8" w:space="0" w:color="00B3E4" w:themeColor="accent3"/>
          <w:left w:val="single" w:sz="8" w:space="0" w:color="00B3E4" w:themeColor="accent3"/>
          <w:bottom w:val="single" w:sz="8" w:space="0" w:color="00B3E4" w:themeColor="accent3"/>
          <w:right w:val="single" w:sz="8" w:space="0" w:color="00B3E4" w:themeColor="accent3"/>
        </w:tcBorders>
      </w:tcPr>
    </w:tblStylePr>
    <w:tblStylePr w:type="band1Horz">
      <w:tblPr/>
      <w:tcPr>
        <w:tcBorders>
          <w:top w:val="single" w:sz="8" w:space="0" w:color="00B3E4" w:themeColor="accent3"/>
          <w:left w:val="single" w:sz="8" w:space="0" w:color="00B3E4" w:themeColor="accent3"/>
          <w:bottom w:val="single" w:sz="8" w:space="0" w:color="00B3E4" w:themeColor="accent3"/>
          <w:right w:val="single" w:sz="8" w:space="0" w:color="00B3E4" w:themeColor="accent3"/>
        </w:tcBorders>
      </w:tcPr>
    </w:tblStylePr>
  </w:style>
  <w:style w:type="table" w:styleId="LightList-Accent4">
    <w:name w:val="Light List Accent 4"/>
    <w:basedOn w:val="TableNormal"/>
    <w:uiPriority w:val="61"/>
    <w:semiHidden/>
    <w:unhideWhenUsed/>
    <w:rsid w:val="00570B73"/>
    <w:pPr>
      <w:spacing w:after="0" w:line="240" w:lineRule="auto"/>
    </w:pPr>
    <w:tblPr>
      <w:tblStyleRowBandSize w:val="1"/>
      <w:tblStyleColBandSize w:val="1"/>
      <w:tblBorders>
        <w:top w:val="single" w:sz="8" w:space="0" w:color="8BC640" w:themeColor="accent4"/>
        <w:left w:val="single" w:sz="8" w:space="0" w:color="8BC640" w:themeColor="accent4"/>
        <w:bottom w:val="single" w:sz="8" w:space="0" w:color="8BC640" w:themeColor="accent4"/>
        <w:right w:val="single" w:sz="8" w:space="0" w:color="8BC640" w:themeColor="accent4"/>
      </w:tblBorders>
    </w:tblPr>
    <w:tblStylePr w:type="firstRow">
      <w:pPr>
        <w:spacing w:before="0" w:after="0" w:line="240" w:lineRule="auto"/>
      </w:pPr>
      <w:rPr>
        <w:b/>
        <w:bCs/>
        <w:color w:val="FFFFFF" w:themeColor="background1"/>
      </w:rPr>
      <w:tblPr/>
      <w:tcPr>
        <w:shd w:val="clear" w:color="auto" w:fill="8BC640" w:themeFill="accent4"/>
      </w:tcPr>
    </w:tblStylePr>
    <w:tblStylePr w:type="lastRow">
      <w:pPr>
        <w:spacing w:before="0" w:after="0" w:line="240" w:lineRule="auto"/>
      </w:pPr>
      <w:rPr>
        <w:b/>
        <w:bCs/>
      </w:rPr>
      <w:tblPr/>
      <w:tcPr>
        <w:tcBorders>
          <w:top w:val="double" w:sz="6" w:space="0" w:color="8BC640" w:themeColor="accent4"/>
          <w:left w:val="single" w:sz="8" w:space="0" w:color="8BC640" w:themeColor="accent4"/>
          <w:bottom w:val="single" w:sz="8" w:space="0" w:color="8BC640" w:themeColor="accent4"/>
          <w:right w:val="single" w:sz="8" w:space="0" w:color="8BC640" w:themeColor="accent4"/>
        </w:tcBorders>
      </w:tcPr>
    </w:tblStylePr>
    <w:tblStylePr w:type="firstCol">
      <w:rPr>
        <w:b/>
        <w:bCs/>
      </w:rPr>
    </w:tblStylePr>
    <w:tblStylePr w:type="lastCol">
      <w:rPr>
        <w:b/>
        <w:bCs/>
      </w:rPr>
    </w:tblStylePr>
    <w:tblStylePr w:type="band1Vert">
      <w:tblPr/>
      <w:tcPr>
        <w:tcBorders>
          <w:top w:val="single" w:sz="8" w:space="0" w:color="8BC640" w:themeColor="accent4"/>
          <w:left w:val="single" w:sz="8" w:space="0" w:color="8BC640" w:themeColor="accent4"/>
          <w:bottom w:val="single" w:sz="8" w:space="0" w:color="8BC640" w:themeColor="accent4"/>
          <w:right w:val="single" w:sz="8" w:space="0" w:color="8BC640" w:themeColor="accent4"/>
        </w:tcBorders>
      </w:tcPr>
    </w:tblStylePr>
    <w:tblStylePr w:type="band1Horz">
      <w:tblPr/>
      <w:tcPr>
        <w:tcBorders>
          <w:top w:val="single" w:sz="8" w:space="0" w:color="8BC640" w:themeColor="accent4"/>
          <w:left w:val="single" w:sz="8" w:space="0" w:color="8BC640" w:themeColor="accent4"/>
          <w:bottom w:val="single" w:sz="8" w:space="0" w:color="8BC640" w:themeColor="accent4"/>
          <w:right w:val="single" w:sz="8" w:space="0" w:color="8BC640" w:themeColor="accent4"/>
        </w:tcBorders>
      </w:tcPr>
    </w:tblStylePr>
  </w:style>
  <w:style w:type="table" w:styleId="LightList-Accent5">
    <w:name w:val="Light List Accent 5"/>
    <w:basedOn w:val="TableNormal"/>
    <w:uiPriority w:val="61"/>
    <w:semiHidden/>
    <w:unhideWhenUsed/>
    <w:rsid w:val="00570B73"/>
    <w:pPr>
      <w:spacing w:after="0" w:line="240" w:lineRule="auto"/>
    </w:pPr>
    <w:tblPr>
      <w:tblStyleRowBandSize w:val="1"/>
      <w:tblStyleColBandSize w:val="1"/>
      <w:tblBorders>
        <w:top w:val="single" w:sz="8" w:space="0" w:color="EF3942" w:themeColor="accent5"/>
        <w:left w:val="single" w:sz="8" w:space="0" w:color="EF3942" w:themeColor="accent5"/>
        <w:bottom w:val="single" w:sz="8" w:space="0" w:color="EF3942" w:themeColor="accent5"/>
        <w:right w:val="single" w:sz="8" w:space="0" w:color="EF3942" w:themeColor="accent5"/>
      </w:tblBorders>
    </w:tblPr>
    <w:tblStylePr w:type="firstRow">
      <w:pPr>
        <w:spacing w:before="0" w:after="0" w:line="240" w:lineRule="auto"/>
      </w:pPr>
      <w:rPr>
        <w:b/>
        <w:bCs/>
        <w:color w:val="FFFFFF" w:themeColor="background1"/>
      </w:rPr>
      <w:tblPr/>
      <w:tcPr>
        <w:shd w:val="clear" w:color="auto" w:fill="EF3942" w:themeFill="accent5"/>
      </w:tcPr>
    </w:tblStylePr>
    <w:tblStylePr w:type="lastRow">
      <w:pPr>
        <w:spacing w:before="0" w:after="0" w:line="240" w:lineRule="auto"/>
      </w:pPr>
      <w:rPr>
        <w:b/>
        <w:bCs/>
      </w:rPr>
      <w:tblPr/>
      <w:tcPr>
        <w:tcBorders>
          <w:top w:val="double" w:sz="6" w:space="0" w:color="EF3942" w:themeColor="accent5"/>
          <w:left w:val="single" w:sz="8" w:space="0" w:color="EF3942" w:themeColor="accent5"/>
          <w:bottom w:val="single" w:sz="8" w:space="0" w:color="EF3942" w:themeColor="accent5"/>
          <w:right w:val="single" w:sz="8" w:space="0" w:color="EF3942" w:themeColor="accent5"/>
        </w:tcBorders>
      </w:tcPr>
    </w:tblStylePr>
    <w:tblStylePr w:type="firstCol">
      <w:rPr>
        <w:b/>
        <w:bCs/>
      </w:rPr>
    </w:tblStylePr>
    <w:tblStylePr w:type="lastCol">
      <w:rPr>
        <w:b/>
        <w:bCs/>
      </w:rPr>
    </w:tblStylePr>
    <w:tblStylePr w:type="band1Vert">
      <w:tblPr/>
      <w:tcPr>
        <w:tcBorders>
          <w:top w:val="single" w:sz="8" w:space="0" w:color="EF3942" w:themeColor="accent5"/>
          <w:left w:val="single" w:sz="8" w:space="0" w:color="EF3942" w:themeColor="accent5"/>
          <w:bottom w:val="single" w:sz="8" w:space="0" w:color="EF3942" w:themeColor="accent5"/>
          <w:right w:val="single" w:sz="8" w:space="0" w:color="EF3942" w:themeColor="accent5"/>
        </w:tcBorders>
      </w:tcPr>
    </w:tblStylePr>
    <w:tblStylePr w:type="band1Horz">
      <w:tblPr/>
      <w:tcPr>
        <w:tcBorders>
          <w:top w:val="single" w:sz="8" w:space="0" w:color="EF3942" w:themeColor="accent5"/>
          <w:left w:val="single" w:sz="8" w:space="0" w:color="EF3942" w:themeColor="accent5"/>
          <w:bottom w:val="single" w:sz="8" w:space="0" w:color="EF3942" w:themeColor="accent5"/>
          <w:right w:val="single" w:sz="8" w:space="0" w:color="EF3942" w:themeColor="accent5"/>
        </w:tcBorders>
      </w:tcPr>
    </w:tblStylePr>
  </w:style>
  <w:style w:type="table" w:styleId="LightList-Accent6">
    <w:name w:val="Light List Accent 6"/>
    <w:basedOn w:val="TableNormal"/>
    <w:uiPriority w:val="61"/>
    <w:semiHidden/>
    <w:unhideWhenUsed/>
    <w:rsid w:val="00570B73"/>
    <w:pPr>
      <w:spacing w:after="0" w:line="240" w:lineRule="auto"/>
    </w:pPr>
    <w:tblPr>
      <w:tblStyleRowBandSize w:val="1"/>
      <w:tblStyleColBandSize w:val="1"/>
      <w:tblBorders>
        <w:top w:val="single" w:sz="8" w:space="0" w:color="FDDB03" w:themeColor="accent6"/>
        <w:left w:val="single" w:sz="8" w:space="0" w:color="FDDB03" w:themeColor="accent6"/>
        <w:bottom w:val="single" w:sz="8" w:space="0" w:color="FDDB03" w:themeColor="accent6"/>
        <w:right w:val="single" w:sz="8" w:space="0" w:color="FDDB03" w:themeColor="accent6"/>
      </w:tblBorders>
    </w:tblPr>
    <w:tblStylePr w:type="firstRow">
      <w:pPr>
        <w:spacing w:before="0" w:after="0" w:line="240" w:lineRule="auto"/>
      </w:pPr>
      <w:rPr>
        <w:b/>
        <w:bCs/>
        <w:color w:val="FFFFFF" w:themeColor="background1"/>
      </w:rPr>
      <w:tblPr/>
      <w:tcPr>
        <w:shd w:val="clear" w:color="auto" w:fill="FDDB03" w:themeFill="accent6"/>
      </w:tcPr>
    </w:tblStylePr>
    <w:tblStylePr w:type="lastRow">
      <w:pPr>
        <w:spacing w:before="0" w:after="0" w:line="240" w:lineRule="auto"/>
      </w:pPr>
      <w:rPr>
        <w:b/>
        <w:bCs/>
      </w:rPr>
      <w:tblPr/>
      <w:tcPr>
        <w:tcBorders>
          <w:top w:val="double" w:sz="6" w:space="0" w:color="FDDB03" w:themeColor="accent6"/>
          <w:left w:val="single" w:sz="8" w:space="0" w:color="FDDB03" w:themeColor="accent6"/>
          <w:bottom w:val="single" w:sz="8" w:space="0" w:color="FDDB03" w:themeColor="accent6"/>
          <w:right w:val="single" w:sz="8" w:space="0" w:color="FDDB03" w:themeColor="accent6"/>
        </w:tcBorders>
      </w:tcPr>
    </w:tblStylePr>
    <w:tblStylePr w:type="firstCol">
      <w:rPr>
        <w:b/>
        <w:bCs/>
      </w:rPr>
    </w:tblStylePr>
    <w:tblStylePr w:type="lastCol">
      <w:rPr>
        <w:b/>
        <w:bCs/>
      </w:rPr>
    </w:tblStylePr>
    <w:tblStylePr w:type="band1Vert">
      <w:tblPr/>
      <w:tcPr>
        <w:tcBorders>
          <w:top w:val="single" w:sz="8" w:space="0" w:color="FDDB03" w:themeColor="accent6"/>
          <w:left w:val="single" w:sz="8" w:space="0" w:color="FDDB03" w:themeColor="accent6"/>
          <w:bottom w:val="single" w:sz="8" w:space="0" w:color="FDDB03" w:themeColor="accent6"/>
          <w:right w:val="single" w:sz="8" w:space="0" w:color="FDDB03" w:themeColor="accent6"/>
        </w:tcBorders>
      </w:tcPr>
    </w:tblStylePr>
    <w:tblStylePr w:type="band1Horz">
      <w:tblPr/>
      <w:tcPr>
        <w:tcBorders>
          <w:top w:val="single" w:sz="8" w:space="0" w:color="FDDB03" w:themeColor="accent6"/>
          <w:left w:val="single" w:sz="8" w:space="0" w:color="FDDB03" w:themeColor="accent6"/>
          <w:bottom w:val="single" w:sz="8" w:space="0" w:color="FDDB03" w:themeColor="accent6"/>
          <w:right w:val="single" w:sz="8" w:space="0" w:color="FDDB03" w:themeColor="accent6"/>
        </w:tcBorders>
      </w:tcPr>
    </w:tblStylePr>
  </w:style>
  <w:style w:type="table" w:styleId="LightShading">
    <w:name w:val="Light Shading"/>
    <w:basedOn w:val="TableNormal"/>
    <w:uiPriority w:val="60"/>
    <w:semiHidden/>
    <w:unhideWhenUsed/>
    <w:rsid w:val="00570B7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70B73"/>
    <w:pPr>
      <w:spacing w:after="0" w:line="240" w:lineRule="auto"/>
    </w:pPr>
    <w:rPr>
      <w:color w:val="CC8A02" w:themeColor="accent1" w:themeShade="BF"/>
    </w:rPr>
    <w:tblPr>
      <w:tblStyleRowBandSize w:val="1"/>
      <w:tblStyleColBandSize w:val="1"/>
      <w:tblBorders>
        <w:top w:val="single" w:sz="8" w:space="0" w:color="FCB319" w:themeColor="accent1"/>
        <w:bottom w:val="single" w:sz="8" w:space="0" w:color="FCB319" w:themeColor="accent1"/>
      </w:tblBorders>
    </w:tblPr>
    <w:tblStylePr w:type="firstRow">
      <w:pPr>
        <w:spacing w:before="0" w:after="0" w:line="240" w:lineRule="auto"/>
      </w:pPr>
      <w:rPr>
        <w:b/>
        <w:bCs/>
      </w:rPr>
      <w:tblPr/>
      <w:tcPr>
        <w:tcBorders>
          <w:top w:val="single" w:sz="8" w:space="0" w:color="FCB319" w:themeColor="accent1"/>
          <w:left w:val="nil"/>
          <w:bottom w:val="single" w:sz="8" w:space="0" w:color="FCB319" w:themeColor="accent1"/>
          <w:right w:val="nil"/>
          <w:insideH w:val="nil"/>
          <w:insideV w:val="nil"/>
        </w:tcBorders>
      </w:tcPr>
    </w:tblStylePr>
    <w:tblStylePr w:type="lastRow">
      <w:pPr>
        <w:spacing w:before="0" w:after="0" w:line="240" w:lineRule="auto"/>
      </w:pPr>
      <w:rPr>
        <w:b/>
        <w:bCs/>
      </w:rPr>
      <w:tblPr/>
      <w:tcPr>
        <w:tcBorders>
          <w:top w:val="single" w:sz="8" w:space="0" w:color="FCB319" w:themeColor="accent1"/>
          <w:left w:val="nil"/>
          <w:bottom w:val="single" w:sz="8" w:space="0" w:color="FCB31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BC6" w:themeFill="accent1" w:themeFillTint="3F"/>
      </w:tcPr>
    </w:tblStylePr>
    <w:tblStylePr w:type="band1Horz">
      <w:tblPr/>
      <w:tcPr>
        <w:tcBorders>
          <w:left w:val="nil"/>
          <w:right w:val="nil"/>
          <w:insideH w:val="nil"/>
          <w:insideV w:val="nil"/>
        </w:tcBorders>
        <w:shd w:val="clear" w:color="auto" w:fill="FEEBC6" w:themeFill="accent1" w:themeFillTint="3F"/>
      </w:tcPr>
    </w:tblStylePr>
  </w:style>
  <w:style w:type="table" w:styleId="LightShading-Accent2">
    <w:name w:val="Light Shading Accent 2"/>
    <w:basedOn w:val="TableNormal"/>
    <w:uiPriority w:val="60"/>
    <w:semiHidden/>
    <w:unhideWhenUsed/>
    <w:rsid w:val="00570B73"/>
    <w:pPr>
      <w:spacing w:after="0" w:line="240" w:lineRule="auto"/>
    </w:pPr>
    <w:rPr>
      <w:color w:val="AC0A66" w:themeColor="accent2" w:themeShade="BF"/>
    </w:rPr>
    <w:tblPr>
      <w:tblStyleRowBandSize w:val="1"/>
      <w:tblStyleColBandSize w:val="1"/>
      <w:tblBorders>
        <w:top w:val="single" w:sz="8" w:space="0" w:color="E70E8A" w:themeColor="accent2"/>
        <w:bottom w:val="single" w:sz="8" w:space="0" w:color="E70E8A" w:themeColor="accent2"/>
      </w:tblBorders>
    </w:tblPr>
    <w:tblStylePr w:type="firstRow">
      <w:pPr>
        <w:spacing w:before="0" w:after="0" w:line="240" w:lineRule="auto"/>
      </w:pPr>
      <w:rPr>
        <w:b/>
        <w:bCs/>
      </w:rPr>
      <w:tblPr/>
      <w:tcPr>
        <w:tcBorders>
          <w:top w:val="single" w:sz="8" w:space="0" w:color="E70E8A" w:themeColor="accent2"/>
          <w:left w:val="nil"/>
          <w:bottom w:val="single" w:sz="8" w:space="0" w:color="E70E8A" w:themeColor="accent2"/>
          <w:right w:val="nil"/>
          <w:insideH w:val="nil"/>
          <w:insideV w:val="nil"/>
        </w:tcBorders>
      </w:tcPr>
    </w:tblStylePr>
    <w:tblStylePr w:type="lastRow">
      <w:pPr>
        <w:spacing w:before="0" w:after="0" w:line="240" w:lineRule="auto"/>
      </w:pPr>
      <w:rPr>
        <w:b/>
        <w:bCs/>
      </w:rPr>
      <w:tblPr/>
      <w:tcPr>
        <w:tcBorders>
          <w:top w:val="single" w:sz="8" w:space="0" w:color="E70E8A" w:themeColor="accent2"/>
          <w:left w:val="nil"/>
          <w:bottom w:val="single" w:sz="8" w:space="0" w:color="E70E8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C1E2" w:themeFill="accent2" w:themeFillTint="3F"/>
      </w:tcPr>
    </w:tblStylePr>
    <w:tblStylePr w:type="band1Horz">
      <w:tblPr/>
      <w:tcPr>
        <w:tcBorders>
          <w:left w:val="nil"/>
          <w:right w:val="nil"/>
          <w:insideH w:val="nil"/>
          <w:insideV w:val="nil"/>
        </w:tcBorders>
        <w:shd w:val="clear" w:color="auto" w:fill="FBC1E2" w:themeFill="accent2" w:themeFillTint="3F"/>
      </w:tcPr>
    </w:tblStylePr>
  </w:style>
  <w:style w:type="table" w:styleId="LightShading-Accent3">
    <w:name w:val="Light Shading Accent 3"/>
    <w:basedOn w:val="TableNormal"/>
    <w:uiPriority w:val="60"/>
    <w:semiHidden/>
    <w:unhideWhenUsed/>
    <w:rsid w:val="00570B73"/>
    <w:pPr>
      <w:spacing w:after="0" w:line="240" w:lineRule="auto"/>
    </w:pPr>
    <w:rPr>
      <w:color w:val="0085AA" w:themeColor="accent3" w:themeShade="BF"/>
    </w:rPr>
    <w:tblPr>
      <w:tblStyleRowBandSize w:val="1"/>
      <w:tblStyleColBandSize w:val="1"/>
      <w:tblBorders>
        <w:top w:val="single" w:sz="8" w:space="0" w:color="00B3E4" w:themeColor="accent3"/>
        <w:bottom w:val="single" w:sz="8" w:space="0" w:color="00B3E4" w:themeColor="accent3"/>
      </w:tblBorders>
    </w:tblPr>
    <w:tblStylePr w:type="firstRow">
      <w:pPr>
        <w:spacing w:before="0" w:after="0" w:line="240" w:lineRule="auto"/>
      </w:pPr>
      <w:rPr>
        <w:b/>
        <w:bCs/>
      </w:rPr>
      <w:tblPr/>
      <w:tcPr>
        <w:tcBorders>
          <w:top w:val="single" w:sz="8" w:space="0" w:color="00B3E4" w:themeColor="accent3"/>
          <w:left w:val="nil"/>
          <w:bottom w:val="single" w:sz="8" w:space="0" w:color="00B3E4" w:themeColor="accent3"/>
          <w:right w:val="nil"/>
          <w:insideH w:val="nil"/>
          <w:insideV w:val="nil"/>
        </w:tcBorders>
      </w:tcPr>
    </w:tblStylePr>
    <w:tblStylePr w:type="lastRow">
      <w:pPr>
        <w:spacing w:before="0" w:after="0" w:line="240" w:lineRule="auto"/>
      </w:pPr>
      <w:rPr>
        <w:b/>
        <w:bCs/>
      </w:rPr>
      <w:tblPr/>
      <w:tcPr>
        <w:tcBorders>
          <w:top w:val="single" w:sz="8" w:space="0" w:color="00B3E4" w:themeColor="accent3"/>
          <w:left w:val="nil"/>
          <w:bottom w:val="single" w:sz="8" w:space="0" w:color="00B3E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FFF" w:themeFill="accent3" w:themeFillTint="3F"/>
      </w:tcPr>
    </w:tblStylePr>
    <w:tblStylePr w:type="band1Horz">
      <w:tblPr/>
      <w:tcPr>
        <w:tcBorders>
          <w:left w:val="nil"/>
          <w:right w:val="nil"/>
          <w:insideH w:val="nil"/>
          <w:insideV w:val="nil"/>
        </w:tcBorders>
        <w:shd w:val="clear" w:color="auto" w:fill="B9EFFF" w:themeFill="accent3" w:themeFillTint="3F"/>
      </w:tcPr>
    </w:tblStylePr>
  </w:style>
  <w:style w:type="table" w:styleId="LightShading-Accent4">
    <w:name w:val="Light Shading Accent 4"/>
    <w:basedOn w:val="TableNormal"/>
    <w:uiPriority w:val="60"/>
    <w:semiHidden/>
    <w:unhideWhenUsed/>
    <w:rsid w:val="00570B73"/>
    <w:pPr>
      <w:spacing w:after="0" w:line="240" w:lineRule="auto"/>
    </w:pPr>
    <w:rPr>
      <w:color w:val="68962D" w:themeColor="accent4" w:themeShade="BF"/>
    </w:rPr>
    <w:tblPr>
      <w:tblStyleRowBandSize w:val="1"/>
      <w:tblStyleColBandSize w:val="1"/>
      <w:tblBorders>
        <w:top w:val="single" w:sz="8" w:space="0" w:color="8BC640" w:themeColor="accent4"/>
        <w:bottom w:val="single" w:sz="8" w:space="0" w:color="8BC640" w:themeColor="accent4"/>
      </w:tblBorders>
    </w:tblPr>
    <w:tblStylePr w:type="firstRow">
      <w:pPr>
        <w:spacing w:before="0" w:after="0" w:line="240" w:lineRule="auto"/>
      </w:pPr>
      <w:rPr>
        <w:b/>
        <w:bCs/>
      </w:rPr>
      <w:tblPr/>
      <w:tcPr>
        <w:tcBorders>
          <w:top w:val="single" w:sz="8" w:space="0" w:color="8BC640" w:themeColor="accent4"/>
          <w:left w:val="nil"/>
          <w:bottom w:val="single" w:sz="8" w:space="0" w:color="8BC640" w:themeColor="accent4"/>
          <w:right w:val="nil"/>
          <w:insideH w:val="nil"/>
          <w:insideV w:val="nil"/>
        </w:tcBorders>
      </w:tcPr>
    </w:tblStylePr>
    <w:tblStylePr w:type="lastRow">
      <w:pPr>
        <w:spacing w:before="0" w:after="0" w:line="240" w:lineRule="auto"/>
      </w:pPr>
      <w:rPr>
        <w:b/>
        <w:bCs/>
      </w:rPr>
      <w:tblPr/>
      <w:tcPr>
        <w:tcBorders>
          <w:top w:val="single" w:sz="8" w:space="0" w:color="8BC640" w:themeColor="accent4"/>
          <w:left w:val="nil"/>
          <w:bottom w:val="single" w:sz="8" w:space="0" w:color="8BC6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semiHidden/>
    <w:unhideWhenUsed/>
    <w:rsid w:val="00570B73"/>
    <w:pPr>
      <w:spacing w:after="0" w:line="240" w:lineRule="auto"/>
    </w:pPr>
    <w:rPr>
      <w:color w:val="CD1019" w:themeColor="accent5" w:themeShade="BF"/>
    </w:rPr>
    <w:tblPr>
      <w:tblStyleRowBandSize w:val="1"/>
      <w:tblStyleColBandSize w:val="1"/>
      <w:tblBorders>
        <w:top w:val="single" w:sz="8" w:space="0" w:color="EF3942" w:themeColor="accent5"/>
        <w:bottom w:val="single" w:sz="8" w:space="0" w:color="EF3942" w:themeColor="accent5"/>
      </w:tblBorders>
    </w:tblPr>
    <w:tblStylePr w:type="firstRow">
      <w:pPr>
        <w:spacing w:before="0" w:after="0" w:line="240" w:lineRule="auto"/>
      </w:pPr>
      <w:rPr>
        <w:b/>
        <w:bCs/>
      </w:rPr>
      <w:tblPr/>
      <w:tcPr>
        <w:tcBorders>
          <w:top w:val="single" w:sz="8" w:space="0" w:color="EF3942" w:themeColor="accent5"/>
          <w:left w:val="nil"/>
          <w:bottom w:val="single" w:sz="8" w:space="0" w:color="EF3942" w:themeColor="accent5"/>
          <w:right w:val="nil"/>
          <w:insideH w:val="nil"/>
          <w:insideV w:val="nil"/>
        </w:tcBorders>
      </w:tcPr>
    </w:tblStylePr>
    <w:tblStylePr w:type="lastRow">
      <w:pPr>
        <w:spacing w:before="0" w:after="0" w:line="240" w:lineRule="auto"/>
      </w:pPr>
      <w:rPr>
        <w:b/>
        <w:bCs/>
      </w:rPr>
      <w:tblPr/>
      <w:tcPr>
        <w:tcBorders>
          <w:top w:val="single" w:sz="8" w:space="0" w:color="EF3942" w:themeColor="accent5"/>
          <w:left w:val="nil"/>
          <w:bottom w:val="single" w:sz="8" w:space="0" w:color="EF39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CDCF" w:themeFill="accent5" w:themeFillTint="3F"/>
      </w:tcPr>
    </w:tblStylePr>
    <w:tblStylePr w:type="band1Horz">
      <w:tblPr/>
      <w:tcPr>
        <w:tcBorders>
          <w:left w:val="nil"/>
          <w:right w:val="nil"/>
          <w:insideH w:val="nil"/>
          <w:insideV w:val="nil"/>
        </w:tcBorders>
        <w:shd w:val="clear" w:color="auto" w:fill="FBCDCF" w:themeFill="accent5" w:themeFillTint="3F"/>
      </w:tcPr>
    </w:tblStylePr>
  </w:style>
  <w:style w:type="table" w:styleId="LightShading-Accent6">
    <w:name w:val="Light Shading Accent 6"/>
    <w:basedOn w:val="TableNormal"/>
    <w:uiPriority w:val="60"/>
    <w:semiHidden/>
    <w:unhideWhenUsed/>
    <w:rsid w:val="00570B73"/>
    <w:pPr>
      <w:spacing w:after="0" w:line="240" w:lineRule="auto"/>
    </w:pPr>
    <w:rPr>
      <w:color w:val="BEA401" w:themeColor="accent6" w:themeShade="BF"/>
    </w:rPr>
    <w:tblPr>
      <w:tblStyleRowBandSize w:val="1"/>
      <w:tblStyleColBandSize w:val="1"/>
      <w:tblBorders>
        <w:top w:val="single" w:sz="8" w:space="0" w:color="FDDB03" w:themeColor="accent6"/>
        <w:bottom w:val="single" w:sz="8" w:space="0" w:color="FDDB03" w:themeColor="accent6"/>
      </w:tblBorders>
    </w:tblPr>
    <w:tblStylePr w:type="firstRow">
      <w:pPr>
        <w:spacing w:before="0" w:after="0" w:line="240" w:lineRule="auto"/>
      </w:pPr>
      <w:rPr>
        <w:b/>
        <w:bCs/>
      </w:rPr>
      <w:tblPr/>
      <w:tcPr>
        <w:tcBorders>
          <w:top w:val="single" w:sz="8" w:space="0" w:color="FDDB03" w:themeColor="accent6"/>
          <w:left w:val="nil"/>
          <w:bottom w:val="single" w:sz="8" w:space="0" w:color="FDDB03" w:themeColor="accent6"/>
          <w:right w:val="nil"/>
          <w:insideH w:val="nil"/>
          <w:insideV w:val="nil"/>
        </w:tcBorders>
      </w:tcPr>
    </w:tblStylePr>
    <w:tblStylePr w:type="lastRow">
      <w:pPr>
        <w:spacing w:before="0" w:after="0" w:line="240" w:lineRule="auto"/>
      </w:pPr>
      <w:rPr>
        <w:b/>
        <w:bCs/>
      </w:rPr>
      <w:tblPr/>
      <w:tcPr>
        <w:tcBorders>
          <w:top w:val="single" w:sz="8" w:space="0" w:color="FDDB03" w:themeColor="accent6"/>
          <w:left w:val="nil"/>
          <w:bottom w:val="single" w:sz="8" w:space="0" w:color="FDDB0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5C0" w:themeFill="accent6" w:themeFillTint="3F"/>
      </w:tcPr>
    </w:tblStylePr>
    <w:tblStylePr w:type="band1Horz">
      <w:tblPr/>
      <w:tcPr>
        <w:tcBorders>
          <w:left w:val="nil"/>
          <w:right w:val="nil"/>
          <w:insideH w:val="nil"/>
          <w:insideV w:val="nil"/>
        </w:tcBorders>
        <w:shd w:val="clear" w:color="auto" w:fill="FEF5C0" w:themeFill="accent6" w:themeFillTint="3F"/>
      </w:tcPr>
    </w:tblStylePr>
  </w:style>
  <w:style w:type="character" w:styleId="LineNumber">
    <w:name w:val="line number"/>
    <w:basedOn w:val="DefaultParagraphFont"/>
    <w:uiPriority w:val="99"/>
    <w:semiHidden/>
    <w:unhideWhenUsed/>
    <w:rsid w:val="00570B73"/>
  </w:style>
  <w:style w:type="paragraph" w:styleId="List">
    <w:name w:val="List"/>
    <w:basedOn w:val="Normal"/>
    <w:uiPriority w:val="99"/>
    <w:semiHidden/>
    <w:unhideWhenUsed/>
    <w:rsid w:val="00570B73"/>
    <w:pPr>
      <w:ind w:left="283" w:hanging="283"/>
      <w:contextualSpacing/>
    </w:pPr>
  </w:style>
  <w:style w:type="paragraph" w:styleId="List2">
    <w:name w:val="List 2"/>
    <w:basedOn w:val="Normal"/>
    <w:uiPriority w:val="99"/>
    <w:semiHidden/>
    <w:unhideWhenUsed/>
    <w:rsid w:val="00570B73"/>
    <w:pPr>
      <w:ind w:left="566" w:hanging="283"/>
      <w:contextualSpacing/>
    </w:pPr>
  </w:style>
  <w:style w:type="paragraph" w:styleId="List3">
    <w:name w:val="List 3"/>
    <w:basedOn w:val="Normal"/>
    <w:uiPriority w:val="99"/>
    <w:semiHidden/>
    <w:unhideWhenUsed/>
    <w:rsid w:val="00570B73"/>
    <w:pPr>
      <w:ind w:left="849" w:hanging="283"/>
      <w:contextualSpacing/>
    </w:pPr>
  </w:style>
  <w:style w:type="paragraph" w:styleId="List4">
    <w:name w:val="List 4"/>
    <w:basedOn w:val="Normal"/>
    <w:uiPriority w:val="99"/>
    <w:semiHidden/>
    <w:unhideWhenUsed/>
    <w:rsid w:val="00570B73"/>
    <w:pPr>
      <w:ind w:left="1132" w:hanging="283"/>
      <w:contextualSpacing/>
    </w:pPr>
  </w:style>
  <w:style w:type="paragraph" w:styleId="List5">
    <w:name w:val="List 5"/>
    <w:basedOn w:val="Normal"/>
    <w:uiPriority w:val="99"/>
    <w:semiHidden/>
    <w:unhideWhenUsed/>
    <w:rsid w:val="00570B73"/>
    <w:pPr>
      <w:ind w:left="1415" w:hanging="283"/>
      <w:contextualSpacing/>
    </w:pPr>
  </w:style>
  <w:style w:type="paragraph" w:styleId="ListBullet3">
    <w:name w:val="List Bullet 3"/>
    <w:basedOn w:val="Normal"/>
    <w:uiPriority w:val="99"/>
    <w:semiHidden/>
    <w:unhideWhenUsed/>
    <w:rsid w:val="00570B73"/>
    <w:pPr>
      <w:tabs>
        <w:tab w:val="num" w:pos="926"/>
      </w:tabs>
      <w:ind w:left="926" w:hanging="360"/>
      <w:contextualSpacing/>
    </w:pPr>
  </w:style>
  <w:style w:type="paragraph" w:styleId="ListBullet4">
    <w:name w:val="List Bullet 4"/>
    <w:basedOn w:val="Normal"/>
    <w:uiPriority w:val="99"/>
    <w:semiHidden/>
    <w:unhideWhenUsed/>
    <w:rsid w:val="00570B73"/>
    <w:pPr>
      <w:tabs>
        <w:tab w:val="num" w:pos="1209"/>
      </w:tabs>
      <w:ind w:left="1209" w:hanging="360"/>
      <w:contextualSpacing/>
    </w:pPr>
  </w:style>
  <w:style w:type="paragraph" w:styleId="ListBullet5">
    <w:name w:val="List Bullet 5"/>
    <w:basedOn w:val="Normal"/>
    <w:uiPriority w:val="99"/>
    <w:semiHidden/>
    <w:unhideWhenUsed/>
    <w:rsid w:val="00570B73"/>
    <w:pPr>
      <w:tabs>
        <w:tab w:val="num" w:pos="1492"/>
      </w:tabs>
      <w:ind w:left="1492" w:hanging="360"/>
      <w:contextualSpacing/>
    </w:pPr>
  </w:style>
  <w:style w:type="paragraph" w:styleId="ListContinue">
    <w:name w:val="List Continue"/>
    <w:basedOn w:val="Normal"/>
    <w:uiPriority w:val="99"/>
    <w:semiHidden/>
    <w:unhideWhenUsed/>
    <w:rsid w:val="00570B73"/>
    <w:pPr>
      <w:spacing w:after="120"/>
      <w:ind w:left="283"/>
      <w:contextualSpacing/>
    </w:pPr>
  </w:style>
  <w:style w:type="paragraph" w:styleId="ListContinue2">
    <w:name w:val="List Continue 2"/>
    <w:basedOn w:val="Normal"/>
    <w:uiPriority w:val="99"/>
    <w:semiHidden/>
    <w:unhideWhenUsed/>
    <w:rsid w:val="00570B73"/>
    <w:pPr>
      <w:spacing w:after="120"/>
      <w:ind w:left="566"/>
      <w:contextualSpacing/>
    </w:pPr>
  </w:style>
  <w:style w:type="paragraph" w:styleId="ListContinue3">
    <w:name w:val="List Continue 3"/>
    <w:basedOn w:val="Normal"/>
    <w:uiPriority w:val="99"/>
    <w:semiHidden/>
    <w:unhideWhenUsed/>
    <w:rsid w:val="00570B73"/>
    <w:pPr>
      <w:spacing w:after="120"/>
      <w:ind w:left="849"/>
      <w:contextualSpacing/>
    </w:pPr>
  </w:style>
  <w:style w:type="paragraph" w:styleId="ListContinue4">
    <w:name w:val="List Continue 4"/>
    <w:basedOn w:val="Normal"/>
    <w:uiPriority w:val="99"/>
    <w:semiHidden/>
    <w:unhideWhenUsed/>
    <w:rsid w:val="00570B73"/>
    <w:pPr>
      <w:spacing w:after="120"/>
      <w:ind w:left="1132"/>
      <w:contextualSpacing/>
    </w:pPr>
  </w:style>
  <w:style w:type="paragraph" w:styleId="ListContinue5">
    <w:name w:val="List Continue 5"/>
    <w:basedOn w:val="Normal"/>
    <w:uiPriority w:val="99"/>
    <w:semiHidden/>
    <w:unhideWhenUsed/>
    <w:rsid w:val="00570B73"/>
    <w:pPr>
      <w:spacing w:after="120"/>
      <w:ind w:left="1415"/>
      <w:contextualSpacing/>
    </w:pPr>
  </w:style>
  <w:style w:type="paragraph" w:styleId="ListNumber4">
    <w:name w:val="List Number 4"/>
    <w:basedOn w:val="Normal"/>
    <w:uiPriority w:val="99"/>
    <w:semiHidden/>
    <w:unhideWhenUsed/>
    <w:rsid w:val="00570B73"/>
    <w:pPr>
      <w:tabs>
        <w:tab w:val="num" w:pos="1209"/>
      </w:tabs>
      <w:ind w:left="1209" w:hanging="360"/>
      <w:contextualSpacing/>
    </w:pPr>
  </w:style>
  <w:style w:type="paragraph" w:styleId="ListNumber5">
    <w:name w:val="List Number 5"/>
    <w:basedOn w:val="Normal"/>
    <w:uiPriority w:val="99"/>
    <w:semiHidden/>
    <w:unhideWhenUsed/>
    <w:rsid w:val="00570B73"/>
    <w:pPr>
      <w:tabs>
        <w:tab w:val="num" w:pos="1492"/>
      </w:tabs>
      <w:ind w:left="1492" w:hanging="360"/>
      <w:contextualSpacing/>
    </w:pPr>
  </w:style>
  <w:style w:type="paragraph" w:styleId="ListParagraph">
    <w:name w:val="List Paragraph"/>
    <w:basedOn w:val="Normal"/>
    <w:uiPriority w:val="34"/>
    <w:semiHidden/>
    <w:qFormat/>
    <w:rsid w:val="00570B73"/>
    <w:pPr>
      <w:ind w:left="720"/>
      <w:contextualSpacing/>
    </w:pPr>
  </w:style>
  <w:style w:type="table" w:customStyle="1" w:styleId="ListTable1Light1">
    <w:name w:val="List Table 1 Light1"/>
    <w:basedOn w:val="TableNormal"/>
    <w:uiPriority w:val="99"/>
    <w:semiHidden/>
    <w:rsid w:val="00570B7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99"/>
    <w:semiHidden/>
    <w:rsid w:val="00570B73"/>
    <w:pPr>
      <w:spacing w:after="0" w:line="240" w:lineRule="auto"/>
    </w:pPr>
    <w:tblPr>
      <w:tblStyleRowBandSize w:val="1"/>
      <w:tblStyleColBandSize w:val="1"/>
    </w:tblPr>
    <w:tblStylePr w:type="firstRow">
      <w:rPr>
        <w:b/>
        <w:bCs/>
      </w:rPr>
      <w:tblPr/>
      <w:tcPr>
        <w:tcBorders>
          <w:bottom w:val="single" w:sz="4" w:space="0" w:color="FDD074" w:themeColor="accent1" w:themeTint="99"/>
        </w:tcBorders>
      </w:tcPr>
    </w:tblStylePr>
    <w:tblStylePr w:type="lastRow">
      <w:rPr>
        <w:b/>
        <w:bCs/>
      </w:rPr>
      <w:tblPr/>
      <w:tcPr>
        <w:tcBorders>
          <w:top w:val="single" w:sz="4" w:space="0" w:color="FDD074" w:themeColor="accent1" w:themeTint="99"/>
        </w:tcBorders>
      </w:tcPr>
    </w:tblStylePr>
    <w:tblStylePr w:type="firstCol">
      <w:rPr>
        <w:b/>
        <w:bCs/>
      </w:rPr>
    </w:tblStylePr>
    <w:tblStylePr w:type="lastCol">
      <w:rPr>
        <w:b/>
        <w:bCs/>
      </w:rPr>
    </w:tblStylePr>
    <w:tblStylePr w:type="band1Vert">
      <w:tblPr/>
      <w:tcPr>
        <w:shd w:val="clear" w:color="auto" w:fill="FEEFD0" w:themeFill="accent1" w:themeFillTint="33"/>
      </w:tcPr>
    </w:tblStylePr>
    <w:tblStylePr w:type="band1Horz">
      <w:tblPr/>
      <w:tcPr>
        <w:shd w:val="clear" w:color="auto" w:fill="FEEFD0" w:themeFill="accent1" w:themeFillTint="33"/>
      </w:tcPr>
    </w:tblStylePr>
  </w:style>
  <w:style w:type="table" w:customStyle="1" w:styleId="ListTable1Light-Accent21">
    <w:name w:val="List Table 1 Light - Accent 21"/>
    <w:basedOn w:val="TableNormal"/>
    <w:uiPriority w:val="99"/>
    <w:semiHidden/>
    <w:rsid w:val="00570B73"/>
    <w:pPr>
      <w:spacing w:after="0" w:line="240" w:lineRule="auto"/>
    </w:pPr>
    <w:tblPr>
      <w:tblStyleRowBandSize w:val="1"/>
      <w:tblStyleColBandSize w:val="1"/>
    </w:tblPr>
    <w:tblStylePr w:type="firstRow">
      <w:rPr>
        <w:b/>
        <w:bCs/>
      </w:rPr>
      <w:tblPr/>
      <w:tcPr>
        <w:tcBorders>
          <w:bottom w:val="single" w:sz="4" w:space="0" w:color="F669B9" w:themeColor="accent2" w:themeTint="99"/>
        </w:tcBorders>
      </w:tcPr>
    </w:tblStylePr>
    <w:tblStylePr w:type="lastRow">
      <w:rPr>
        <w:b/>
        <w:bCs/>
      </w:rPr>
      <w:tblPr/>
      <w:tcPr>
        <w:tcBorders>
          <w:top w:val="single" w:sz="4" w:space="0" w:color="F669B9" w:themeColor="accent2" w:themeTint="99"/>
        </w:tcBorders>
      </w:tcPr>
    </w:tblStylePr>
    <w:tblStylePr w:type="firstCol">
      <w:rPr>
        <w:b/>
        <w:bCs/>
      </w:rPr>
    </w:tblStylePr>
    <w:tblStylePr w:type="lastCol">
      <w:rPr>
        <w:b/>
        <w:bCs/>
      </w:rPr>
    </w:tblStylePr>
    <w:tblStylePr w:type="band1Vert">
      <w:tblPr/>
      <w:tcPr>
        <w:shd w:val="clear" w:color="auto" w:fill="FCCDE7" w:themeFill="accent2" w:themeFillTint="33"/>
      </w:tcPr>
    </w:tblStylePr>
    <w:tblStylePr w:type="band1Horz">
      <w:tblPr/>
      <w:tcPr>
        <w:shd w:val="clear" w:color="auto" w:fill="FCCDE7" w:themeFill="accent2" w:themeFillTint="33"/>
      </w:tcPr>
    </w:tblStylePr>
  </w:style>
  <w:style w:type="table" w:customStyle="1" w:styleId="ListTable1Light-Accent31">
    <w:name w:val="List Table 1 Light - Accent 31"/>
    <w:basedOn w:val="TableNormal"/>
    <w:uiPriority w:val="99"/>
    <w:semiHidden/>
    <w:rsid w:val="00570B73"/>
    <w:pPr>
      <w:spacing w:after="0" w:line="240" w:lineRule="auto"/>
    </w:pPr>
    <w:tblPr>
      <w:tblStyleRowBandSize w:val="1"/>
      <w:tblStyleColBandSize w:val="1"/>
    </w:tblPr>
    <w:tblStylePr w:type="firstRow">
      <w:rPr>
        <w:b/>
        <w:bCs/>
      </w:rPr>
      <w:tblPr/>
      <w:tcPr>
        <w:tcBorders>
          <w:bottom w:val="single" w:sz="4" w:space="0" w:color="55DAFF" w:themeColor="accent3" w:themeTint="99"/>
        </w:tcBorders>
      </w:tcPr>
    </w:tblStylePr>
    <w:tblStylePr w:type="lastRow">
      <w:rPr>
        <w:b/>
        <w:bCs/>
      </w:rPr>
      <w:tblPr/>
      <w:tcPr>
        <w:tcBorders>
          <w:top w:val="single" w:sz="4" w:space="0" w:color="55DAFF" w:themeColor="accent3" w:themeTint="99"/>
        </w:tcBorders>
      </w:tcPr>
    </w:tblStylePr>
    <w:tblStylePr w:type="firstCol">
      <w:rPr>
        <w:b/>
        <w:bCs/>
      </w:rPr>
    </w:tblStylePr>
    <w:tblStylePr w:type="lastCol">
      <w:rPr>
        <w:b/>
        <w:bCs/>
      </w:rPr>
    </w:tblStylePr>
    <w:tblStylePr w:type="band1Vert">
      <w:tblPr/>
      <w:tcPr>
        <w:shd w:val="clear" w:color="auto" w:fill="C6F2FF" w:themeFill="accent3" w:themeFillTint="33"/>
      </w:tcPr>
    </w:tblStylePr>
    <w:tblStylePr w:type="band1Horz">
      <w:tblPr/>
      <w:tcPr>
        <w:shd w:val="clear" w:color="auto" w:fill="C6F2FF" w:themeFill="accent3" w:themeFillTint="33"/>
      </w:tcPr>
    </w:tblStylePr>
  </w:style>
  <w:style w:type="table" w:customStyle="1" w:styleId="ListTable1Light-Accent41">
    <w:name w:val="List Table 1 Light - Accent 41"/>
    <w:basedOn w:val="TableNormal"/>
    <w:uiPriority w:val="99"/>
    <w:semiHidden/>
    <w:rsid w:val="00570B73"/>
    <w:pPr>
      <w:spacing w:after="0" w:line="240" w:lineRule="auto"/>
    </w:pPr>
    <w:tblPr>
      <w:tblStyleRowBandSize w:val="1"/>
      <w:tblStyleColBandSize w:val="1"/>
    </w:tblPr>
    <w:tblStylePr w:type="firstRow">
      <w:rPr>
        <w:b/>
        <w:bCs/>
      </w:rPr>
      <w:tblPr/>
      <w:tcPr>
        <w:tcBorders>
          <w:bottom w:val="single" w:sz="4" w:space="0" w:color="B9DC8C" w:themeColor="accent4" w:themeTint="99"/>
        </w:tcBorders>
      </w:tcPr>
    </w:tblStylePr>
    <w:tblStylePr w:type="lastRow">
      <w:rPr>
        <w:b/>
        <w:bCs/>
      </w:rPr>
      <w:tblPr/>
      <w:tcPr>
        <w:tcBorders>
          <w:top w:val="single" w:sz="4" w:space="0" w:color="B9DC8C" w:themeColor="accent4" w:themeTint="99"/>
        </w:tcBorders>
      </w:tcPr>
    </w:tblStylePr>
    <w:tblStylePr w:type="firstCol">
      <w:rPr>
        <w:b/>
        <w:bCs/>
      </w:rPr>
    </w:tblStylePr>
    <w:tblStylePr w:type="lastCol">
      <w:rPr>
        <w:b/>
        <w:bCs/>
      </w:rPr>
    </w:tblStylePr>
    <w:tblStylePr w:type="band1Vert">
      <w:tblPr/>
      <w:tcPr>
        <w:shd w:val="clear" w:color="auto" w:fill="E7F3D8" w:themeFill="accent4" w:themeFillTint="33"/>
      </w:tcPr>
    </w:tblStylePr>
    <w:tblStylePr w:type="band1Horz">
      <w:tblPr/>
      <w:tcPr>
        <w:shd w:val="clear" w:color="auto" w:fill="E7F3D8" w:themeFill="accent4" w:themeFillTint="33"/>
      </w:tcPr>
    </w:tblStylePr>
  </w:style>
  <w:style w:type="table" w:customStyle="1" w:styleId="ListTable1Light-Accent51">
    <w:name w:val="List Table 1 Light - Accent 51"/>
    <w:basedOn w:val="TableNormal"/>
    <w:uiPriority w:val="99"/>
    <w:semiHidden/>
    <w:rsid w:val="00570B73"/>
    <w:pPr>
      <w:spacing w:after="0" w:line="240" w:lineRule="auto"/>
    </w:pPr>
    <w:tblPr>
      <w:tblStyleRowBandSize w:val="1"/>
      <w:tblStyleColBandSize w:val="1"/>
    </w:tblPr>
    <w:tblStylePr w:type="firstRow">
      <w:rPr>
        <w:b/>
        <w:bCs/>
      </w:rPr>
      <w:tblPr/>
      <w:tcPr>
        <w:tcBorders>
          <w:bottom w:val="single" w:sz="4" w:space="0" w:color="F5878C" w:themeColor="accent5" w:themeTint="99"/>
        </w:tcBorders>
      </w:tcPr>
    </w:tblStylePr>
    <w:tblStylePr w:type="lastRow">
      <w:rPr>
        <w:b/>
        <w:bCs/>
      </w:rPr>
      <w:tblPr/>
      <w:tcPr>
        <w:tcBorders>
          <w:top w:val="single" w:sz="4" w:space="0" w:color="F5878C" w:themeColor="accent5" w:themeTint="99"/>
        </w:tcBorders>
      </w:tcPr>
    </w:tblStylePr>
    <w:tblStylePr w:type="firstCol">
      <w:rPr>
        <w:b/>
        <w:bCs/>
      </w:rPr>
    </w:tblStylePr>
    <w:tblStylePr w:type="lastCol">
      <w:rPr>
        <w:b/>
        <w:bCs/>
      </w:rPr>
    </w:tblStylePr>
    <w:tblStylePr w:type="band1Vert">
      <w:tblPr/>
      <w:tcPr>
        <w:shd w:val="clear" w:color="auto" w:fill="FBD7D8" w:themeFill="accent5" w:themeFillTint="33"/>
      </w:tcPr>
    </w:tblStylePr>
    <w:tblStylePr w:type="band1Horz">
      <w:tblPr/>
      <w:tcPr>
        <w:shd w:val="clear" w:color="auto" w:fill="FBD7D8" w:themeFill="accent5" w:themeFillTint="33"/>
      </w:tcPr>
    </w:tblStylePr>
  </w:style>
  <w:style w:type="table" w:customStyle="1" w:styleId="ListTable1Light-Accent61">
    <w:name w:val="List Table 1 Light - Accent 61"/>
    <w:basedOn w:val="TableNormal"/>
    <w:uiPriority w:val="99"/>
    <w:semiHidden/>
    <w:rsid w:val="00570B73"/>
    <w:pPr>
      <w:spacing w:after="0" w:line="240" w:lineRule="auto"/>
    </w:pPr>
    <w:tblPr>
      <w:tblStyleRowBandSize w:val="1"/>
      <w:tblStyleColBandSize w:val="1"/>
    </w:tblPr>
    <w:tblStylePr w:type="firstRow">
      <w:rPr>
        <w:b/>
        <w:bCs/>
      </w:rPr>
      <w:tblPr/>
      <w:tcPr>
        <w:tcBorders>
          <w:bottom w:val="single" w:sz="4" w:space="0" w:color="FDE967" w:themeColor="accent6" w:themeTint="99"/>
        </w:tcBorders>
      </w:tcPr>
    </w:tblStylePr>
    <w:tblStylePr w:type="lastRow">
      <w:rPr>
        <w:b/>
        <w:bCs/>
      </w:rPr>
      <w:tblPr/>
      <w:tcPr>
        <w:tcBorders>
          <w:top w:val="single" w:sz="4" w:space="0" w:color="FDE967" w:themeColor="accent6" w:themeTint="99"/>
        </w:tcBorders>
      </w:tcPr>
    </w:tblStylePr>
    <w:tblStylePr w:type="firstCol">
      <w:rPr>
        <w:b/>
        <w:bCs/>
      </w:rPr>
    </w:tblStylePr>
    <w:tblStylePr w:type="lastCol">
      <w:rPr>
        <w:b/>
        <w:bCs/>
      </w:rPr>
    </w:tblStylePr>
    <w:tblStylePr w:type="band1Vert">
      <w:tblPr/>
      <w:tcPr>
        <w:shd w:val="clear" w:color="auto" w:fill="FEF7CC" w:themeFill="accent6" w:themeFillTint="33"/>
      </w:tcPr>
    </w:tblStylePr>
    <w:tblStylePr w:type="band1Horz">
      <w:tblPr/>
      <w:tcPr>
        <w:shd w:val="clear" w:color="auto" w:fill="FEF7CC" w:themeFill="accent6" w:themeFillTint="33"/>
      </w:tcPr>
    </w:tblStylePr>
  </w:style>
  <w:style w:type="table" w:customStyle="1" w:styleId="ListTable21">
    <w:name w:val="List Table 21"/>
    <w:basedOn w:val="TableNormal"/>
    <w:uiPriority w:val="99"/>
    <w:semiHidden/>
    <w:rsid w:val="00570B7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99"/>
    <w:semiHidden/>
    <w:rsid w:val="00570B73"/>
    <w:pPr>
      <w:spacing w:after="0" w:line="240" w:lineRule="auto"/>
    </w:pPr>
    <w:tblPr>
      <w:tblStyleRowBandSize w:val="1"/>
      <w:tblStyleColBandSize w:val="1"/>
      <w:tblBorders>
        <w:top w:val="single" w:sz="4" w:space="0" w:color="FDD074" w:themeColor="accent1" w:themeTint="99"/>
        <w:bottom w:val="single" w:sz="4" w:space="0" w:color="FDD074" w:themeColor="accent1" w:themeTint="99"/>
        <w:insideH w:val="single" w:sz="4" w:space="0" w:color="FDD07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FD0" w:themeFill="accent1" w:themeFillTint="33"/>
      </w:tcPr>
    </w:tblStylePr>
    <w:tblStylePr w:type="band1Horz">
      <w:tblPr/>
      <w:tcPr>
        <w:shd w:val="clear" w:color="auto" w:fill="FEEFD0" w:themeFill="accent1" w:themeFillTint="33"/>
      </w:tcPr>
    </w:tblStylePr>
  </w:style>
  <w:style w:type="table" w:customStyle="1" w:styleId="ListTable2-Accent21">
    <w:name w:val="List Table 2 - Accent 21"/>
    <w:basedOn w:val="TableNormal"/>
    <w:uiPriority w:val="99"/>
    <w:semiHidden/>
    <w:rsid w:val="00570B73"/>
    <w:pPr>
      <w:spacing w:after="0" w:line="240" w:lineRule="auto"/>
    </w:pPr>
    <w:tblPr>
      <w:tblStyleRowBandSize w:val="1"/>
      <w:tblStyleColBandSize w:val="1"/>
      <w:tblBorders>
        <w:top w:val="single" w:sz="4" w:space="0" w:color="F669B9" w:themeColor="accent2" w:themeTint="99"/>
        <w:bottom w:val="single" w:sz="4" w:space="0" w:color="F669B9" w:themeColor="accent2" w:themeTint="99"/>
        <w:insideH w:val="single" w:sz="4" w:space="0" w:color="F669B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CDE7" w:themeFill="accent2" w:themeFillTint="33"/>
      </w:tcPr>
    </w:tblStylePr>
    <w:tblStylePr w:type="band1Horz">
      <w:tblPr/>
      <w:tcPr>
        <w:shd w:val="clear" w:color="auto" w:fill="FCCDE7" w:themeFill="accent2" w:themeFillTint="33"/>
      </w:tcPr>
    </w:tblStylePr>
  </w:style>
  <w:style w:type="table" w:customStyle="1" w:styleId="ListTable2-Accent31">
    <w:name w:val="List Table 2 - Accent 31"/>
    <w:basedOn w:val="TableNormal"/>
    <w:uiPriority w:val="99"/>
    <w:semiHidden/>
    <w:rsid w:val="00570B73"/>
    <w:pPr>
      <w:spacing w:after="0" w:line="240" w:lineRule="auto"/>
    </w:pPr>
    <w:tblPr>
      <w:tblStyleRowBandSize w:val="1"/>
      <w:tblStyleColBandSize w:val="1"/>
      <w:tblBorders>
        <w:top w:val="single" w:sz="4" w:space="0" w:color="55DAFF" w:themeColor="accent3" w:themeTint="99"/>
        <w:bottom w:val="single" w:sz="4" w:space="0" w:color="55DAFF" w:themeColor="accent3" w:themeTint="99"/>
        <w:insideH w:val="single" w:sz="4" w:space="0" w:color="55DA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F2FF" w:themeFill="accent3" w:themeFillTint="33"/>
      </w:tcPr>
    </w:tblStylePr>
    <w:tblStylePr w:type="band1Horz">
      <w:tblPr/>
      <w:tcPr>
        <w:shd w:val="clear" w:color="auto" w:fill="C6F2FF" w:themeFill="accent3" w:themeFillTint="33"/>
      </w:tcPr>
    </w:tblStylePr>
  </w:style>
  <w:style w:type="table" w:customStyle="1" w:styleId="ListTable2-Accent41">
    <w:name w:val="List Table 2 - Accent 41"/>
    <w:basedOn w:val="TableNormal"/>
    <w:uiPriority w:val="99"/>
    <w:semiHidden/>
    <w:rsid w:val="00570B73"/>
    <w:pPr>
      <w:spacing w:after="0" w:line="240" w:lineRule="auto"/>
    </w:pPr>
    <w:tblPr>
      <w:tblStyleRowBandSize w:val="1"/>
      <w:tblStyleColBandSize w:val="1"/>
      <w:tblBorders>
        <w:top w:val="single" w:sz="4" w:space="0" w:color="B9DC8C" w:themeColor="accent4" w:themeTint="99"/>
        <w:bottom w:val="single" w:sz="4" w:space="0" w:color="B9DC8C" w:themeColor="accent4" w:themeTint="99"/>
        <w:insideH w:val="single" w:sz="4" w:space="0" w:color="B9DC8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3D8" w:themeFill="accent4" w:themeFillTint="33"/>
      </w:tcPr>
    </w:tblStylePr>
    <w:tblStylePr w:type="band1Horz">
      <w:tblPr/>
      <w:tcPr>
        <w:shd w:val="clear" w:color="auto" w:fill="E7F3D8" w:themeFill="accent4" w:themeFillTint="33"/>
      </w:tcPr>
    </w:tblStylePr>
  </w:style>
  <w:style w:type="table" w:customStyle="1" w:styleId="ListTable2-Accent51">
    <w:name w:val="List Table 2 - Accent 51"/>
    <w:basedOn w:val="TableNormal"/>
    <w:uiPriority w:val="99"/>
    <w:semiHidden/>
    <w:rsid w:val="00570B73"/>
    <w:pPr>
      <w:spacing w:after="0" w:line="240" w:lineRule="auto"/>
    </w:pPr>
    <w:tblPr>
      <w:tblStyleRowBandSize w:val="1"/>
      <w:tblStyleColBandSize w:val="1"/>
      <w:tblBorders>
        <w:top w:val="single" w:sz="4" w:space="0" w:color="F5878C" w:themeColor="accent5" w:themeTint="99"/>
        <w:bottom w:val="single" w:sz="4" w:space="0" w:color="F5878C" w:themeColor="accent5" w:themeTint="99"/>
        <w:insideH w:val="single" w:sz="4" w:space="0" w:color="F5878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7D8" w:themeFill="accent5" w:themeFillTint="33"/>
      </w:tcPr>
    </w:tblStylePr>
    <w:tblStylePr w:type="band1Horz">
      <w:tblPr/>
      <w:tcPr>
        <w:shd w:val="clear" w:color="auto" w:fill="FBD7D8" w:themeFill="accent5" w:themeFillTint="33"/>
      </w:tcPr>
    </w:tblStylePr>
  </w:style>
  <w:style w:type="table" w:customStyle="1" w:styleId="ListTable2-Accent61">
    <w:name w:val="List Table 2 - Accent 61"/>
    <w:basedOn w:val="TableNormal"/>
    <w:uiPriority w:val="99"/>
    <w:semiHidden/>
    <w:rsid w:val="00570B73"/>
    <w:pPr>
      <w:spacing w:after="0" w:line="240" w:lineRule="auto"/>
    </w:pPr>
    <w:tblPr>
      <w:tblStyleRowBandSize w:val="1"/>
      <w:tblStyleColBandSize w:val="1"/>
      <w:tblBorders>
        <w:top w:val="single" w:sz="4" w:space="0" w:color="FDE967" w:themeColor="accent6" w:themeTint="99"/>
        <w:bottom w:val="single" w:sz="4" w:space="0" w:color="FDE967" w:themeColor="accent6" w:themeTint="99"/>
        <w:insideH w:val="single" w:sz="4" w:space="0" w:color="FDE96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7CC" w:themeFill="accent6" w:themeFillTint="33"/>
      </w:tcPr>
    </w:tblStylePr>
    <w:tblStylePr w:type="band1Horz">
      <w:tblPr/>
      <w:tcPr>
        <w:shd w:val="clear" w:color="auto" w:fill="FEF7CC" w:themeFill="accent6" w:themeFillTint="33"/>
      </w:tcPr>
    </w:tblStylePr>
  </w:style>
  <w:style w:type="table" w:customStyle="1" w:styleId="ListTable31">
    <w:name w:val="List Table 31"/>
    <w:basedOn w:val="TableNormal"/>
    <w:uiPriority w:val="99"/>
    <w:semiHidden/>
    <w:rsid w:val="00570B7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99"/>
    <w:semiHidden/>
    <w:rsid w:val="00570B73"/>
    <w:pPr>
      <w:spacing w:after="0" w:line="240" w:lineRule="auto"/>
    </w:pPr>
    <w:tblPr>
      <w:tblStyleRowBandSize w:val="1"/>
      <w:tblStyleColBandSize w:val="1"/>
      <w:tblBorders>
        <w:top w:val="single" w:sz="4" w:space="0" w:color="FCB319" w:themeColor="accent1"/>
        <w:left w:val="single" w:sz="4" w:space="0" w:color="FCB319" w:themeColor="accent1"/>
        <w:bottom w:val="single" w:sz="4" w:space="0" w:color="FCB319" w:themeColor="accent1"/>
        <w:right w:val="single" w:sz="4" w:space="0" w:color="FCB319" w:themeColor="accent1"/>
      </w:tblBorders>
    </w:tblPr>
    <w:tblStylePr w:type="firstRow">
      <w:rPr>
        <w:b/>
        <w:bCs/>
        <w:color w:val="FFFFFF" w:themeColor="background1"/>
      </w:rPr>
      <w:tblPr/>
      <w:tcPr>
        <w:shd w:val="clear" w:color="auto" w:fill="FCB319" w:themeFill="accent1"/>
      </w:tcPr>
    </w:tblStylePr>
    <w:tblStylePr w:type="lastRow">
      <w:rPr>
        <w:b/>
        <w:bCs/>
      </w:rPr>
      <w:tblPr/>
      <w:tcPr>
        <w:tcBorders>
          <w:top w:val="double" w:sz="4" w:space="0" w:color="FCB31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B319" w:themeColor="accent1"/>
          <w:right w:val="single" w:sz="4" w:space="0" w:color="FCB319" w:themeColor="accent1"/>
        </w:tcBorders>
      </w:tcPr>
    </w:tblStylePr>
    <w:tblStylePr w:type="band1Horz">
      <w:tblPr/>
      <w:tcPr>
        <w:tcBorders>
          <w:top w:val="single" w:sz="4" w:space="0" w:color="FCB319" w:themeColor="accent1"/>
          <w:bottom w:val="single" w:sz="4" w:space="0" w:color="FCB31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B319" w:themeColor="accent1"/>
          <w:left w:val="nil"/>
        </w:tcBorders>
      </w:tcPr>
    </w:tblStylePr>
    <w:tblStylePr w:type="swCell">
      <w:tblPr/>
      <w:tcPr>
        <w:tcBorders>
          <w:top w:val="double" w:sz="4" w:space="0" w:color="FCB319" w:themeColor="accent1"/>
          <w:right w:val="nil"/>
        </w:tcBorders>
      </w:tcPr>
    </w:tblStylePr>
  </w:style>
  <w:style w:type="table" w:customStyle="1" w:styleId="ListTable3-Accent21">
    <w:name w:val="List Table 3 - Accent 21"/>
    <w:basedOn w:val="TableNormal"/>
    <w:uiPriority w:val="99"/>
    <w:semiHidden/>
    <w:rsid w:val="00570B73"/>
    <w:pPr>
      <w:spacing w:after="0" w:line="240" w:lineRule="auto"/>
    </w:pPr>
    <w:tblPr>
      <w:tblStyleRowBandSize w:val="1"/>
      <w:tblStyleColBandSize w:val="1"/>
      <w:tblBorders>
        <w:top w:val="single" w:sz="4" w:space="0" w:color="E70E8A" w:themeColor="accent2"/>
        <w:left w:val="single" w:sz="4" w:space="0" w:color="E70E8A" w:themeColor="accent2"/>
        <w:bottom w:val="single" w:sz="4" w:space="0" w:color="E70E8A" w:themeColor="accent2"/>
        <w:right w:val="single" w:sz="4" w:space="0" w:color="E70E8A" w:themeColor="accent2"/>
      </w:tblBorders>
    </w:tblPr>
    <w:tblStylePr w:type="firstRow">
      <w:rPr>
        <w:b/>
        <w:bCs/>
        <w:color w:val="FFFFFF" w:themeColor="background1"/>
      </w:rPr>
      <w:tblPr/>
      <w:tcPr>
        <w:shd w:val="clear" w:color="auto" w:fill="E70E8A" w:themeFill="accent2"/>
      </w:tcPr>
    </w:tblStylePr>
    <w:tblStylePr w:type="lastRow">
      <w:rPr>
        <w:b/>
        <w:bCs/>
      </w:rPr>
      <w:tblPr/>
      <w:tcPr>
        <w:tcBorders>
          <w:top w:val="double" w:sz="4" w:space="0" w:color="E70E8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0E8A" w:themeColor="accent2"/>
          <w:right w:val="single" w:sz="4" w:space="0" w:color="E70E8A" w:themeColor="accent2"/>
        </w:tcBorders>
      </w:tcPr>
    </w:tblStylePr>
    <w:tblStylePr w:type="band1Horz">
      <w:tblPr/>
      <w:tcPr>
        <w:tcBorders>
          <w:top w:val="single" w:sz="4" w:space="0" w:color="E70E8A" w:themeColor="accent2"/>
          <w:bottom w:val="single" w:sz="4" w:space="0" w:color="E70E8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0E8A" w:themeColor="accent2"/>
          <w:left w:val="nil"/>
        </w:tcBorders>
      </w:tcPr>
    </w:tblStylePr>
    <w:tblStylePr w:type="swCell">
      <w:tblPr/>
      <w:tcPr>
        <w:tcBorders>
          <w:top w:val="double" w:sz="4" w:space="0" w:color="E70E8A" w:themeColor="accent2"/>
          <w:right w:val="nil"/>
        </w:tcBorders>
      </w:tcPr>
    </w:tblStylePr>
  </w:style>
  <w:style w:type="table" w:customStyle="1" w:styleId="ListTable3-Accent31">
    <w:name w:val="List Table 3 - Accent 31"/>
    <w:basedOn w:val="TableNormal"/>
    <w:uiPriority w:val="99"/>
    <w:semiHidden/>
    <w:rsid w:val="00570B73"/>
    <w:pPr>
      <w:spacing w:after="0" w:line="240" w:lineRule="auto"/>
    </w:pPr>
    <w:tblPr>
      <w:tblStyleRowBandSize w:val="1"/>
      <w:tblStyleColBandSize w:val="1"/>
      <w:tblBorders>
        <w:top w:val="single" w:sz="4" w:space="0" w:color="00B3E4" w:themeColor="accent3"/>
        <w:left w:val="single" w:sz="4" w:space="0" w:color="00B3E4" w:themeColor="accent3"/>
        <w:bottom w:val="single" w:sz="4" w:space="0" w:color="00B3E4" w:themeColor="accent3"/>
        <w:right w:val="single" w:sz="4" w:space="0" w:color="00B3E4" w:themeColor="accent3"/>
      </w:tblBorders>
    </w:tblPr>
    <w:tblStylePr w:type="firstRow">
      <w:rPr>
        <w:b/>
        <w:bCs/>
        <w:color w:val="FFFFFF" w:themeColor="background1"/>
      </w:rPr>
      <w:tblPr/>
      <w:tcPr>
        <w:shd w:val="clear" w:color="auto" w:fill="00B3E4" w:themeFill="accent3"/>
      </w:tcPr>
    </w:tblStylePr>
    <w:tblStylePr w:type="lastRow">
      <w:rPr>
        <w:b/>
        <w:bCs/>
      </w:rPr>
      <w:tblPr/>
      <w:tcPr>
        <w:tcBorders>
          <w:top w:val="double" w:sz="4" w:space="0" w:color="00B3E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3E4" w:themeColor="accent3"/>
          <w:right w:val="single" w:sz="4" w:space="0" w:color="00B3E4" w:themeColor="accent3"/>
        </w:tcBorders>
      </w:tcPr>
    </w:tblStylePr>
    <w:tblStylePr w:type="band1Horz">
      <w:tblPr/>
      <w:tcPr>
        <w:tcBorders>
          <w:top w:val="single" w:sz="4" w:space="0" w:color="00B3E4" w:themeColor="accent3"/>
          <w:bottom w:val="single" w:sz="4" w:space="0" w:color="00B3E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3E4" w:themeColor="accent3"/>
          <w:left w:val="nil"/>
        </w:tcBorders>
      </w:tcPr>
    </w:tblStylePr>
    <w:tblStylePr w:type="swCell">
      <w:tblPr/>
      <w:tcPr>
        <w:tcBorders>
          <w:top w:val="double" w:sz="4" w:space="0" w:color="00B3E4" w:themeColor="accent3"/>
          <w:right w:val="nil"/>
        </w:tcBorders>
      </w:tcPr>
    </w:tblStylePr>
  </w:style>
  <w:style w:type="table" w:customStyle="1" w:styleId="ListTable3-Accent41">
    <w:name w:val="List Table 3 - Accent 41"/>
    <w:basedOn w:val="TableNormal"/>
    <w:uiPriority w:val="99"/>
    <w:semiHidden/>
    <w:rsid w:val="00570B73"/>
    <w:pPr>
      <w:spacing w:after="0" w:line="240" w:lineRule="auto"/>
    </w:pPr>
    <w:tblPr>
      <w:tblStyleRowBandSize w:val="1"/>
      <w:tblStyleColBandSize w:val="1"/>
      <w:tblBorders>
        <w:top w:val="single" w:sz="4" w:space="0" w:color="8BC640" w:themeColor="accent4"/>
        <w:left w:val="single" w:sz="4" w:space="0" w:color="8BC640" w:themeColor="accent4"/>
        <w:bottom w:val="single" w:sz="4" w:space="0" w:color="8BC640" w:themeColor="accent4"/>
        <w:right w:val="single" w:sz="4" w:space="0" w:color="8BC640" w:themeColor="accent4"/>
      </w:tblBorders>
    </w:tblPr>
    <w:tblStylePr w:type="firstRow">
      <w:rPr>
        <w:b/>
        <w:bCs/>
        <w:color w:val="FFFFFF" w:themeColor="background1"/>
      </w:rPr>
      <w:tblPr/>
      <w:tcPr>
        <w:shd w:val="clear" w:color="auto" w:fill="8BC640" w:themeFill="accent4"/>
      </w:tcPr>
    </w:tblStylePr>
    <w:tblStylePr w:type="lastRow">
      <w:rPr>
        <w:b/>
        <w:bCs/>
      </w:rPr>
      <w:tblPr/>
      <w:tcPr>
        <w:tcBorders>
          <w:top w:val="double" w:sz="4" w:space="0" w:color="8BC6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BC640" w:themeColor="accent4"/>
          <w:right w:val="single" w:sz="4" w:space="0" w:color="8BC640" w:themeColor="accent4"/>
        </w:tcBorders>
      </w:tcPr>
    </w:tblStylePr>
    <w:tblStylePr w:type="band1Horz">
      <w:tblPr/>
      <w:tcPr>
        <w:tcBorders>
          <w:top w:val="single" w:sz="4" w:space="0" w:color="8BC640" w:themeColor="accent4"/>
          <w:bottom w:val="single" w:sz="4" w:space="0" w:color="8BC6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BC640" w:themeColor="accent4"/>
          <w:left w:val="nil"/>
        </w:tcBorders>
      </w:tcPr>
    </w:tblStylePr>
    <w:tblStylePr w:type="swCell">
      <w:tblPr/>
      <w:tcPr>
        <w:tcBorders>
          <w:top w:val="double" w:sz="4" w:space="0" w:color="8BC640" w:themeColor="accent4"/>
          <w:right w:val="nil"/>
        </w:tcBorders>
      </w:tcPr>
    </w:tblStylePr>
  </w:style>
  <w:style w:type="table" w:customStyle="1" w:styleId="ListTable3-Accent51">
    <w:name w:val="List Table 3 - Accent 51"/>
    <w:basedOn w:val="TableNormal"/>
    <w:uiPriority w:val="99"/>
    <w:semiHidden/>
    <w:rsid w:val="00570B73"/>
    <w:pPr>
      <w:spacing w:after="0" w:line="240" w:lineRule="auto"/>
    </w:pPr>
    <w:tblPr>
      <w:tblStyleRowBandSize w:val="1"/>
      <w:tblStyleColBandSize w:val="1"/>
      <w:tblBorders>
        <w:top w:val="single" w:sz="4" w:space="0" w:color="EF3942" w:themeColor="accent5"/>
        <w:left w:val="single" w:sz="4" w:space="0" w:color="EF3942" w:themeColor="accent5"/>
        <w:bottom w:val="single" w:sz="4" w:space="0" w:color="EF3942" w:themeColor="accent5"/>
        <w:right w:val="single" w:sz="4" w:space="0" w:color="EF3942" w:themeColor="accent5"/>
      </w:tblBorders>
    </w:tblPr>
    <w:tblStylePr w:type="firstRow">
      <w:rPr>
        <w:b/>
        <w:bCs/>
        <w:color w:val="FFFFFF" w:themeColor="background1"/>
      </w:rPr>
      <w:tblPr/>
      <w:tcPr>
        <w:shd w:val="clear" w:color="auto" w:fill="EF3942" w:themeFill="accent5"/>
      </w:tcPr>
    </w:tblStylePr>
    <w:tblStylePr w:type="lastRow">
      <w:rPr>
        <w:b/>
        <w:bCs/>
      </w:rPr>
      <w:tblPr/>
      <w:tcPr>
        <w:tcBorders>
          <w:top w:val="double" w:sz="4" w:space="0" w:color="EF39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3942" w:themeColor="accent5"/>
          <w:right w:val="single" w:sz="4" w:space="0" w:color="EF3942" w:themeColor="accent5"/>
        </w:tcBorders>
      </w:tcPr>
    </w:tblStylePr>
    <w:tblStylePr w:type="band1Horz">
      <w:tblPr/>
      <w:tcPr>
        <w:tcBorders>
          <w:top w:val="single" w:sz="4" w:space="0" w:color="EF3942" w:themeColor="accent5"/>
          <w:bottom w:val="single" w:sz="4" w:space="0" w:color="EF39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3942" w:themeColor="accent5"/>
          <w:left w:val="nil"/>
        </w:tcBorders>
      </w:tcPr>
    </w:tblStylePr>
    <w:tblStylePr w:type="swCell">
      <w:tblPr/>
      <w:tcPr>
        <w:tcBorders>
          <w:top w:val="double" w:sz="4" w:space="0" w:color="EF3942" w:themeColor="accent5"/>
          <w:right w:val="nil"/>
        </w:tcBorders>
      </w:tcPr>
    </w:tblStylePr>
  </w:style>
  <w:style w:type="table" w:customStyle="1" w:styleId="ListTable3-Accent61">
    <w:name w:val="List Table 3 - Accent 61"/>
    <w:basedOn w:val="TableNormal"/>
    <w:uiPriority w:val="99"/>
    <w:semiHidden/>
    <w:rsid w:val="00570B73"/>
    <w:pPr>
      <w:spacing w:after="0" w:line="240" w:lineRule="auto"/>
    </w:pPr>
    <w:tblPr>
      <w:tblStyleRowBandSize w:val="1"/>
      <w:tblStyleColBandSize w:val="1"/>
      <w:tblBorders>
        <w:top w:val="single" w:sz="4" w:space="0" w:color="FDDB03" w:themeColor="accent6"/>
        <w:left w:val="single" w:sz="4" w:space="0" w:color="FDDB03" w:themeColor="accent6"/>
        <w:bottom w:val="single" w:sz="4" w:space="0" w:color="FDDB03" w:themeColor="accent6"/>
        <w:right w:val="single" w:sz="4" w:space="0" w:color="FDDB03" w:themeColor="accent6"/>
      </w:tblBorders>
    </w:tblPr>
    <w:tblStylePr w:type="firstRow">
      <w:rPr>
        <w:b/>
        <w:bCs/>
        <w:color w:val="FFFFFF" w:themeColor="background1"/>
      </w:rPr>
      <w:tblPr/>
      <w:tcPr>
        <w:shd w:val="clear" w:color="auto" w:fill="FDDB03" w:themeFill="accent6"/>
      </w:tcPr>
    </w:tblStylePr>
    <w:tblStylePr w:type="lastRow">
      <w:rPr>
        <w:b/>
        <w:bCs/>
      </w:rPr>
      <w:tblPr/>
      <w:tcPr>
        <w:tcBorders>
          <w:top w:val="double" w:sz="4" w:space="0" w:color="FDDB0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DB03" w:themeColor="accent6"/>
          <w:right w:val="single" w:sz="4" w:space="0" w:color="FDDB03" w:themeColor="accent6"/>
        </w:tcBorders>
      </w:tcPr>
    </w:tblStylePr>
    <w:tblStylePr w:type="band1Horz">
      <w:tblPr/>
      <w:tcPr>
        <w:tcBorders>
          <w:top w:val="single" w:sz="4" w:space="0" w:color="FDDB03" w:themeColor="accent6"/>
          <w:bottom w:val="single" w:sz="4" w:space="0" w:color="FDDB0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DB03" w:themeColor="accent6"/>
          <w:left w:val="nil"/>
        </w:tcBorders>
      </w:tcPr>
    </w:tblStylePr>
    <w:tblStylePr w:type="swCell">
      <w:tblPr/>
      <w:tcPr>
        <w:tcBorders>
          <w:top w:val="double" w:sz="4" w:space="0" w:color="FDDB03" w:themeColor="accent6"/>
          <w:right w:val="nil"/>
        </w:tcBorders>
      </w:tcPr>
    </w:tblStylePr>
  </w:style>
  <w:style w:type="table" w:customStyle="1" w:styleId="ListTable41">
    <w:name w:val="List Table 41"/>
    <w:basedOn w:val="TableNormal"/>
    <w:uiPriority w:val="99"/>
    <w:semiHidden/>
    <w:rsid w:val="00570B7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99"/>
    <w:semiHidden/>
    <w:rsid w:val="00570B73"/>
    <w:pPr>
      <w:spacing w:after="0" w:line="240" w:lineRule="auto"/>
    </w:pPr>
    <w:tblPr>
      <w:tblStyleRowBandSize w:val="1"/>
      <w:tblStyleColBandSize w:val="1"/>
      <w:tblBorders>
        <w:top w:val="single" w:sz="4" w:space="0" w:color="FDD074" w:themeColor="accent1" w:themeTint="99"/>
        <w:left w:val="single" w:sz="4" w:space="0" w:color="FDD074" w:themeColor="accent1" w:themeTint="99"/>
        <w:bottom w:val="single" w:sz="4" w:space="0" w:color="FDD074" w:themeColor="accent1" w:themeTint="99"/>
        <w:right w:val="single" w:sz="4" w:space="0" w:color="FDD074" w:themeColor="accent1" w:themeTint="99"/>
        <w:insideH w:val="single" w:sz="4" w:space="0" w:color="FDD074" w:themeColor="accent1" w:themeTint="99"/>
      </w:tblBorders>
    </w:tblPr>
    <w:tblStylePr w:type="firstRow">
      <w:rPr>
        <w:b/>
        <w:bCs/>
        <w:color w:val="FFFFFF" w:themeColor="background1"/>
      </w:rPr>
      <w:tblPr/>
      <w:tcPr>
        <w:tcBorders>
          <w:top w:val="single" w:sz="4" w:space="0" w:color="FCB319" w:themeColor="accent1"/>
          <w:left w:val="single" w:sz="4" w:space="0" w:color="FCB319" w:themeColor="accent1"/>
          <w:bottom w:val="single" w:sz="4" w:space="0" w:color="FCB319" w:themeColor="accent1"/>
          <w:right w:val="single" w:sz="4" w:space="0" w:color="FCB319" w:themeColor="accent1"/>
          <w:insideH w:val="nil"/>
        </w:tcBorders>
        <w:shd w:val="clear" w:color="auto" w:fill="FCB319" w:themeFill="accent1"/>
      </w:tcPr>
    </w:tblStylePr>
    <w:tblStylePr w:type="lastRow">
      <w:rPr>
        <w:b/>
        <w:bCs/>
      </w:rPr>
      <w:tblPr/>
      <w:tcPr>
        <w:tcBorders>
          <w:top w:val="double" w:sz="4" w:space="0" w:color="FDD074" w:themeColor="accent1" w:themeTint="99"/>
        </w:tcBorders>
      </w:tcPr>
    </w:tblStylePr>
    <w:tblStylePr w:type="firstCol">
      <w:rPr>
        <w:b/>
        <w:bCs/>
      </w:rPr>
    </w:tblStylePr>
    <w:tblStylePr w:type="lastCol">
      <w:rPr>
        <w:b/>
        <w:bCs/>
      </w:rPr>
    </w:tblStylePr>
    <w:tblStylePr w:type="band1Vert">
      <w:tblPr/>
      <w:tcPr>
        <w:shd w:val="clear" w:color="auto" w:fill="FEEFD0" w:themeFill="accent1" w:themeFillTint="33"/>
      </w:tcPr>
    </w:tblStylePr>
    <w:tblStylePr w:type="band1Horz">
      <w:tblPr/>
      <w:tcPr>
        <w:shd w:val="clear" w:color="auto" w:fill="FEEFD0" w:themeFill="accent1" w:themeFillTint="33"/>
      </w:tcPr>
    </w:tblStylePr>
  </w:style>
  <w:style w:type="table" w:customStyle="1" w:styleId="ListTable4-Accent21">
    <w:name w:val="List Table 4 - Accent 21"/>
    <w:basedOn w:val="TableNormal"/>
    <w:uiPriority w:val="99"/>
    <w:semiHidden/>
    <w:rsid w:val="00570B73"/>
    <w:pPr>
      <w:spacing w:after="0" w:line="240" w:lineRule="auto"/>
    </w:pPr>
    <w:tblPr>
      <w:tblStyleRowBandSize w:val="1"/>
      <w:tblStyleColBandSize w:val="1"/>
      <w:tblBorders>
        <w:top w:val="single" w:sz="4" w:space="0" w:color="F669B9" w:themeColor="accent2" w:themeTint="99"/>
        <w:left w:val="single" w:sz="4" w:space="0" w:color="F669B9" w:themeColor="accent2" w:themeTint="99"/>
        <w:bottom w:val="single" w:sz="4" w:space="0" w:color="F669B9" w:themeColor="accent2" w:themeTint="99"/>
        <w:right w:val="single" w:sz="4" w:space="0" w:color="F669B9" w:themeColor="accent2" w:themeTint="99"/>
        <w:insideH w:val="single" w:sz="4" w:space="0" w:color="F669B9" w:themeColor="accent2" w:themeTint="99"/>
      </w:tblBorders>
    </w:tblPr>
    <w:tblStylePr w:type="firstRow">
      <w:rPr>
        <w:b/>
        <w:bCs/>
        <w:color w:val="FFFFFF" w:themeColor="background1"/>
      </w:rPr>
      <w:tblPr/>
      <w:tcPr>
        <w:tcBorders>
          <w:top w:val="single" w:sz="4" w:space="0" w:color="E70E8A" w:themeColor="accent2"/>
          <w:left w:val="single" w:sz="4" w:space="0" w:color="E70E8A" w:themeColor="accent2"/>
          <w:bottom w:val="single" w:sz="4" w:space="0" w:color="E70E8A" w:themeColor="accent2"/>
          <w:right w:val="single" w:sz="4" w:space="0" w:color="E70E8A" w:themeColor="accent2"/>
          <w:insideH w:val="nil"/>
        </w:tcBorders>
        <w:shd w:val="clear" w:color="auto" w:fill="E70E8A" w:themeFill="accent2"/>
      </w:tcPr>
    </w:tblStylePr>
    <w:tblStylePr w:type="lastRow">
      <w:rPr>
        <w:b/>
        <w:bCs/>
      </w:rPr>
      <w:tblPr/>
      <w:tcPr>
        <w:tcBorders>
          <w:top w:val="double" w:sz="4" w:space="0" w:color="F669B9" w:themeColor="accent2" w:themeTint="99"/>
        </w:tcBorders>
      </w:tcPr>
    </w:tblStylePr>
    <w:tblStylePr w:type="firstCol">
      <w:rPr>
        <w:b/>
        <w:bCs/>
      </w:rPr>
    </w:tblStylePr>
    <w:tblStylePr w:type="lastCol">
      <w:rPr>
        <w:b/>
        <w:bCs/>
      </w:rPr>
    </w:tblStylePr>
    <w:tblStylePr w:type="band1Vert">
      <w:tblPr/>
      <w:tcPr>
        <w:shd w:val="clear" w:color="auto" w:fill="FCCDE7" w:themeFill="accent2" w:themeFillTint="33"/>
      </w:tcPr>
    </w:tblStylePr>
    <w:tblStylePr w:type="band1Horz">
      <w:tblPr/>
      <w:tcPr>
        <w:shd w:val="clear" w:color="auto" w:fill="FCCDE7" w:themeFill="accent2" w:themeFillTint="33"/>
      </w:tcPr>
    </w:tblStylePr>
  </w:style>
  <w:style w:type="table" w:customStyle="1" w:styleId="ListTable4-Accent31">
    <w:name w:val="List Table 4 - Accent 31"/>
    <w:basedOn w:val="TableNormal"/>
    <w:uiPriority w:val="99"/>
    <w:semiHidden/>
    <w:rsid w:val="00570B73"/>
    <w:pPr>
      <w:spacing w:after="0" w:line="240" w:lineRule="auto"/>
    </w:pPr>
    <w:tblPr>
      <w:tblStyleRowBandSize w:val="1"/>
      <w:tblStyleColBandSize w:val="1"/>
      <w:tblBorders>
        <w:top w:val="single" w:sz="4" w:space="0" w:color="55DAFF" w:themeColor="accent3" w:themeTint="99"/>
        <w:left w:val="single" w:sz="4" w:space="0" w:color="55DAFF" w:themeColor="accent3" w:themeTint="99"/>
        <w:bottom w:val="single" w:sz="4" w:space="0" w:color="55DAFF" w:themeColor="accent3" w:themeTint="99"/>
        <w:right w:val="single" w:sz="4" w:space="0" w:color="55DAFF" w:themeColor="accent3" w:themeTint="99"/>
        <w:insideH w:val="single" w:sz="4" w:space="0" w:color="55DAFF" w:themeColor="accent3" w:themeTint="99"/>
      </w:tblBorders>
    </w:tblPr>
    <w:tblStylePr w:type="firstRow">
      <w:rPr>
        <w:b/>
        <w:bCs/>
        <w:color w:val="FFFFFF" w:themeColor="background1"/>
      </w:rPr>
      <w:tblPr/>
      <w:tcPr>
        <w:tcBorders>
          <w:top w:val="single" w:sz="4" w:space="0" w:color="00B3E4" w:themeColor="accent3"/>
          <w:left w:val="single" w:sz="4" w:space="0" w:color="00B3E4" w:themeColor="accent3"/>
          <w:bottom w:val="single" w:sz="4" w:space="0" w:color="00B3E4" w:themeColor="accent3"/>
          <w:right w:val="single" w:sz="4" w:space="0" w:color="00B3E4" w:themeColor="accent3"/>
          <w:insideH w:val="nil"/>
        </w:tcBorders>
        <w:shd w:val="clear" w:color="auto" w:fill="00B3E4" w:themeFill="accent3"/>
      </w:tcPr>
    </w:tblStylePr>
    <w:tblStylePr w:type="lastRow">
      <w:rPr>
        <w:b/>
        <w:bCs/>
      </w:rPr>
      <w:tblPr/>
      <w:tcPr>
        <w:tcBorders>
          <w:top w:val="double" w:sz="4" w:space="0" w:color="55DAFF" w:themeColor="accent3" w:themeTint="99"/>
        </w:tcBorders>
      </w:tcPr>
    </w:tblStylePr>
    <w:tblStylePr w:type="firstCol">
      <w:rPr>
        <w:b/>
        <w:bCs/>
      </w:rPr>
    </w:tblStylePr>
    <w:tblStylePr w:type="lastCol">
      <w:rPr>
        <w:b/>
        <w:bCs/>
      </w:rPr>
    </w:tblStylePr>
    <w:tblStylePr w:type="band1Vert">
      <w:tblPr/>
      <w:tcPr>
        <w:shd w:val="clear" w:color="auto" w:fill="C6F2FF" w:themeFill="accent3" w:themeFillTint="33"/>
      </w:tcPr>
    </w:tblStylePr>
    <w:tblStylePr w:type="band1Horz">
      <w:tblPr/>
      <w:tcPr>
        <w:shd w:val="clear" w:color="auto" w:fill="C6F2FF" w:themeFill="accent3" w:themeFillTint="33"/>
      </w:tcPr>
    </w:tblStylePr>
  </w:style>
  <w:style w:type="table" w:customStyle="1" w:styleId="ListTable4-Accent41">
    <w:name w:val="List Table 4 - Accent 41"/>
    <w:basedOn w:val="TableNormal"/>
    <w:uiPriority w:val="99"/>
    <w:semiHidden/>
    <w:rsid w:val="00570B73"/>
    <w:pPr>
      <w:spacing w:after="0" w:line="240" w:lineRule="auto"/>
    </w:pPr>
    <w:tblPr>
      <w:tblStyleRowBandSize w:val="1"/>
      <w:tblStyleColBandSize w:val="1"/>
      <w:tblBorders>
        <w:top w:val="single" w:sz="4" w:space="0" w:color="B9DC8C" w:themeColor="accent4" w:themeTint="99"/>
        <w:left w:val="single" w:sz="4" w:space="0" w:color="B9DC8C" w:themeColor="accent4" w:themeTint="99"/>
        <w:bottom w:val="single" w:sz="4" w:space="0" w:color="B9DC8C" w:themeColor="accent4" w:themeTint="99"/>
        <w:right w:val="single" w:sz="4" w:space="0" w:color="B9DC8C" w:themeColor="accent4" w:themeTint="99"/>
        <w:insideH w:val="single" w:sz="4" w:space="0" w:color="B9DC8C" w:themeColor="accent4" w:themeTint="99"/>
      </w:tblBorders>
    </w:tblPr>
    <w:tblStylePr w:type="firstRow">
      <w:rPr>
        <w:b/>
        <w:bCs/>
        <w:color w:val="FFFFFF" w:themeColor="background1"/>
      </w:rPr>
      <w:tblPr/>
      <w:tcPr>
        <w:tcBorders>
          <w:top w:val="single" w:sz="4" w:space="0" w:color="8BC640" w:themeColor="accent4"/>
          <w:left w:val="single" w:sz="4" w:space="0" w:color="8BC640" w:themeColor="accent4"/>
          <w:bottom w:val="single" w:sz="4" w:space="0" w:color="8BC640" w:themeColor="accent4"/>
          <w:right w:val="single" w:sz="4" w:space="0" w:color="8BC640" w:themeColor="accent4"/>
          <w:insideH w:val="nil"/>
        </w:tcBorders>
        <w:shd w:val="clear" w:color="auto" w:fill="8BC640" w:themeFill="accent4"/>
      </w:tcPr>
    </w:tblStylePr>
    <w:tblStylePr w:type="lastRow">
      <w:rPr>
        <w:b/>
        <w:bCs/>
      </w:rPr>
      <w:tblPr/>
      <w:tcPr>
        <w:tcBorders>
          <w:top w:val="double" w:sz="4" w:space="0" w:color="B9DC8C" w:themeColor="accent4" w:themeTint="99"/>
        </w:tcBorders>
      </w:tcPr>
    </w:tblStylePr>
    <w:tblStylePr w:type="firstCol">
      <w:rPr>
        <w:b/>
        <w:bCs/>
      </w:rPr>
    </w:tblStylePr>
    <w:tblStylePr w:type="lastCol">
      <w:rPr>
        <w:b/>
        <w:bCs/>
      </w:rPr>
    </w:tblStylePr>
    <w:tblStylePr w:type="band1Vert">
      <w:tblPr/>
      <w:tcPr>
        <w:shd w:val="clear" w:color="auto" w:fill="E7F3D8" w:themeFill="accent4" w:themeFillTint="33"/>
      </w:tcPr>
    </w:tblStylePr>
    <w:tblStylePr w:type="band1Horz">
      <w:tblPr/>
      <w:tcPr>
        <w:shd w:val="clear" w:color="auto" w:fill="E7F3D8" w:themeFill="accent4" w:themeFillTint="33"/>
      </w:tcPr>
    </w:tblStylePr>
  </w:style>
  <w:style w:type="table" w:customStyle="1" w:styleId="ListTable4-Accent51">
    <w:name w:val="List Table 4 - Accent 51"/>
    <w:basedOn w:val="TableNormal"/>
    <w:uiPriority w:val="99"/>
    <w:semiHidden/>
    <w:rsid w:val="00570B73"/>
    <w:pPr>
      <w:spacing w:after="0" w:line="240" w:lineRule="auto"/>
    </w:pPr>
    <w:tblPr>
      <w:tblStyleRowBandSize w:val="1"/>
      <w:tblStyleColBandSize w:val="1"/>
      <w:tblBorders>
        <w:top w:val="single" w:sz="4" w:space="0" w:color="F5878C" w:themeColor="accent5" w:themeTint="99"/>
        <w:left w:val="single" w:sz="4" w:space="0" w:color="F5878C" w:themeColor="accent5" w:themeTint="99"/>
        <w:bottom w:val="single" w:sz="4" w:space="0" w:color="F5878C" w:themeColor="accent5" w:themeTint="99"/>
        <w:right w:val="single" w:sz="4" w:space="0" w:color="F5878C" w:themeColor="accent5" w:themeTint="99"/>
        <w:insideH w:val="single" w:sz="4" w:space="0" w:color="F5878C" w:themeColor="accent5" w:themeTint="99"/>
      </w:tblBorders>
    </w:tblPr>
    <w:tblStylePr w:type="firstRow">
      <w:rPr>
        <w:b/>
        <w:bCs/>
        <w:color w:val="FFFFFF" w:themeColor="background1"/>
      </w:rPr>
      <w:tblPr/>
      <w:tcPr>
        <w:tcBorders>
          <w:top w:val="single" w:sz="4" w:space="0" w:color="EF3942" w:themeColor="accent5"/>
          <w:left w:val="single" w:sz="4" w:space="0" w:color="EF3942" w:themeColor="accent5"/>
          <w:bottom w:val="single" w:sz="4" w:space="0" w:color="EF3942" w:themeColor="accent5"/>
          <w:right w:val="single" w:sz="4" w:space="0" w:color="EF3942" w:themeColor="accent5"/>
          <w:insideH w:val="nil"/>
        </w:tcBorders>
        <w:shd w:val="clear" w:color="auto" w:fill="EF3942" w:themeFill="accent5"/>
      </w:tcPr>
    </w:tblStylePr>
    <w:tblStylePr w:type="lastRow">
      <w:rPr>
        <w:b/>
        <w:bCs/>
      </w:rPr>
      <w:tblPr/>
      <w:tcPr>
        <w:tcBorders>
          <w:top w:val="double" w:sz="4" w:space="0" w:color="F5878C" w:themeColor="accent5" w:themeTint="99"/>
        </w:tcBorders>
      </w:tcPr>
    </w:tblStylePr>
    <w:tblStylePr w:type="firstCol">
      <w:rPr>
        <w:b/>
        <w:bCs/>
      </w:rPr>
    </w:tblStylePr>
    <w:tblStylePr w:type="lastCol">
      <w:rPr>
        <w:b/>
        <w:bCs/>
      </w:rPr>
    </w:tblStylePr>
    <w:tblStylePr w:type="band1Vert">
      <w:tblPr/>
      <w:tcPr>
        <w:shd w:val="clear" w:color="auto" w:fill="FBD7D8" w:themeFill="accent5" w:themeFillTint="33"/>
      </w:tcPr>
    </w:tblStylePr>
    <w:tblStylePr w:type="band1Horz">
      <w:tblPr/>
      <w:tcPr>
        <w:shd w:val="clear" w:color="auto" w:fill="FBD7D8" w:themeFill="accent5" w:themeFillTint="33"/>
      </w:tcPr>
    </w:tblStylePr>
  </w:style>
  <w:style w:type="table" w:customStyle="1" w:styleId="ListTable4-Accent61">
    <w:name w:val="List Table 4 - Accent 61"/>
    <w:basedOn w:val="TableNormal"/>
    <w:uiPriority w:val="99"/>
    <w:semiHidden/>
    <w:rsid w:val="00570B73"/>
    <w:pPr>
      <w:spacing w:after="0" w:line="240" w:lineRule="auto"/>
    </w:pPr>
    <w:tblPr>
      <w:tblStyleRowBandSize w:val="1"/>
      <w:tblStyleColBandSize w:val="1"/>
      <w:tblBorders>
        <w:top w:val="single" w:sz="4" w:space="0" w:color="FDE967" w:themeColor="accent6" w:themeTint="99"/>
        <w:left w:val="single" w:sz="4" w:space="0" w:color="FDE967" w:themeColor="accent6" w:themeTint="99"/>
        <w:bottom w:val="single" w:sz="4" w:space="0" w:color="FDE967" w:themeColor="accent6" w:themeTint="99"/>
        <w:right w:val="single" w:sz="4" w:space="0" w:color="FDE967" w:themeColor="accent6" w:themeTint="99"/>
        <w:insideH w:val="single" w:sz="4" w:space="0" w:color="FDE967" w:themeColor="accent6" w:themeTint="99"/>
      </w:tblBorders>
    </w:tblPr>
    <w:tblStylePr w:type="firstRow">
      <w:rPr>
        <w:b/>
        <w:bCs/>
        <w:color w:val="FFFFFF" w:themeColor="background1"/>
      </w:rPr>
      <w:tblPr/>
      <w:tcPr>
        <w:tcBorders>
          <w:top w:val="single" w:sz="4" w:space="0" w:color="FDDB03" w:themeColor="accent6"/>
          <w:left w:val="single" w:sz="4" w:space="0" w:color="FDDB03" w:themeColor="accent6"/>
          <w:bottom w:val="single" w:sz="4" w:space="0" w:color="FDDB03" w:themeColor="accent6"/>
          <w:right w:val="single" w:sz="4" w:space="0" w:color="FDDB03" w:themeColor="accent6"/>
          <w:insideH w:val="nil"/>
        </w:tcBorders>
        <w:shd w:val="clear" w:color="auto" w:fill="FDDB03" w:themeFill="accent6"/>
      </w:tcPr>
    </w:tblStylePr>
    <w:tblStylePr w:type="lastRow">
      <w:rPr>
        <w:b/>
        <w:bCs/>
      </w:rPr>
      <w:tblPr/>
      <w:tcPr>
        <w:tcBorders>
          <w:top w:val="double" w:sz="4" w:space="0" w:color="FDE967" w:themeColor="accent6" w:themeTint="99"/>
        </w:tcBorders>
      </w:tcPr>
    </w:tblStylePr>
    <w:tblStylePr w:type="firstCol">
      <w:rPr>
        <w:b/>
        <w:bCs/>
      </w:rPr>
    </w:tblStylePr>
    <w:tblStylePr w:type="lastCol">
      <w:rPr>
        <w:b/>
        <w:bCs/>
      </w:rPr>
    </w:tblStylePr>
    <w:tblStylePr w:type="band1Vert">
      <w:tblPr/>
      <w:tcPr>
        <w:shd w:val="clear" w:color="auto" w:fill="FEF7CC" w:themeFill="accent6" w:themeFillTint="33"/>
      </w:tcPr>
    </w:tblStylePr>
    <w:tblStylePr w:type="band1Horz">
      <w:tblPr/>
      <w:tcPr>
        <w:shd w:val="clear" w:color="auto" w:fill="FEF7CC" w:themeFill="accent6" w:themeFillTint="33"/>
      </w:tcPr>
    </w:tblStylePr>
  </w:style>
  <w:style w:type="table" w:customStyle="1" w:styleId="ListTable5Dark1">
    <w:name w:val="List Table 5 Dark1"/>
    <w:basedOn w:val="TableNormal"/>
    <w:uiPriority w:val="99"/>
    <w:semiHidden/>
    <w:rsid w:val="00570B7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99"/>
    <w:semiHidden/>
    <w:rsid w:val="00570B73"/>
    <w:pPr>
      <w:spacing w:after="0" w:line="240" w:lineRule="auto"/>
    </w:pPr>
    <w:rPr>
      <w:color w:val="FFFFFF" w:themeColor="background1"/>
    </w:rPr>
    <w:tblPr>
      <w:tblStyleRowBandSize w:val="1"/>
      <w:tblStyleColBandSize w:val="1"/>
      <w:tblBorders>
        <w:top w:val="single" w:sz="24" w:space="0" w:color="FCB319" w:themeColor="accent1"/>
        <w:left w:val="single" w:sz="24" w:space="0" w:color="FCB319" w:themeColor="accent1"/>
        <w:bottom w:val="single" w:sz="24" w:space="0" w:color="FCB319" w:themeColor="accent1"/>
        <w:right w:val="single" w:sz="24" w:space="0" w:color="FCB319" w:themeColor="accent1"/>
      </w:tblBorders>
    </w:tblPr>
    <w:tcPr>
      <w:shd w:val="clear" w:color="auto" w:fill="FCB31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99"/>
    <w:semiHidden/>
    <w:rsid w:val="00570B73"/>
    <w:pPr>
      <w:spacing w:after="0" w:line="240" w:lineRule="auto"/>
    </w:pPr>
    <w:rPr>
      <w:color w:val="FFFFFF" w:themeColor="background1"/>
    </w:rPr>
    <w:tblPr>
      <w:tblStyleRowBandSize w:val="1"/>
      <w:tblStyleColBandSize w:val="1"/>
      <w:tblBorders>
        <w:top w:val="single" w:sz="24" w:space="0" w:color="E70E8A" w:themeColor="accent2"/>
        <w:left w:val="single" w:sz="24" w:space="0" w:color="E70E8A" w:themeColor="accent2"/>
        <w:bottom w:val="single" w:sz="24" w:space="0" w:color="E70E8A" w:themeColor="accent2"/>
        <w:right w:val="single" w:sz="24" w:space="0" w:color="E70E8A" w:themeColor="accent2"/>
      </w:tblBorders>
    </w:tblPr>
    <w:tcPr>
      <w:shd w:val="clear" w:color="auto" w:fill="E70E8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99"/>
    <w:semiHidden/>
    <w:rsid w:val="00570B73"/>
    <w:pPr>
      <w:spacing w:after="0" w:line="240" w:lineRule="auto"/>
    </w:pPr>
    <w:rPr>
      <w:color w:val="FFFFFF" w:themeColor="background1"/>
    </w:rPr>
    <w:tblPr>
      <w:tblStyleRowBandSize w:val="1"/>
      <w:tblStyleColBandSize w:val="1"/>
      <w:tblBorders>
        <w:top w:val="single" w:sz="24" w:space="0" w:color="00B3E4" w:themeColor="accent3"/>
        <w:left w:val="single" w:sz="24" w:space="0" w:color="00B3E4" w:themeColor="accent3"/>
        <w:bottom w:val="single" w:sz="24" w:space="0" w:color="00B3E4" w:themeColor="accent3"/>
        <w:right w:val="single" w:sz="24" w:space="0" w:color="00B3E4" w:themeColor="accent3"/>
      </w:tblBorders>
    </w:tblPr>
    <w:tcPr>
      <w:shd w:val="clear" w:color="auto" w:fill="00B3E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99"/>
    <w:semiHidden/>
    <w:rsid w:val="00570B73"/>
    <w:pPr>
      <w:spacing w:after="0" w:line="240" w:lineRule="auto"/>
    </w:pPr>
    <w:rPr>
      <w:color w:val="FFFFFF" w:themeColor="background1"/>
    </w:rPr>
    <w:tblPr>
      <w:tblStyleRowBandSize w:val="1"/>
      <w:tblStyleColBandSize w:val="1"/>
      <w:tblBorders>
        <w:top w:val="single" w:sz="24" w:space="0" w:color="8BC640" w:themeColor="accent4"/>
        <w:left w:val="single" w:sz="24" w:space="0" w:color="8BC640" w:themeColor="accent4"/>
        <w:bottom w:val="single" w:sz="24" w:space="0" w:color="8BC640" w:themeColor="accent4"/>
        <w:right w:val="single" w:sz="24" w:space="0" w:color="8BC640" w:themeColor="accent4"/>
      </w:tblBorders>
    </w:tblPr>
    <w:tcPr>
      <w:shd w:val="clear" w:color="auto" w:fill="8BC64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99"/>
    <w:semiHidden/>
    <w:rsid w:val="00570B73"/>
    <w:pPr>
      <w:spacing w:after="0" w:line="240" w:lineRule="auto"/>
    </w:pPr>
    <w:rPr>
      <w:color w:val="FFFFFF" w:themeColor="background1"/>
    </w:rPr>
    <w:tblPr>
      <w:tblStyleRowBandSize w:val="1"/>
      <w:tblStyleColBandSize w:val="1"/>
      <w:tblBorders>
        <w:top w:val="single" w:sz="24" w:space="0" w:color="EF3942" w:themeColor="accent5"/>
        <w:left w:val="single" w:sz="24" w:space="0" w:color="EF3942" w:themeColor="accent5"/>
        <w:bottom w:val="single" w:sz="24" w:space="0" w:color="EF3942" w:themeColor="accent5"/>
        <w:right w:val="single" w:sz="24" w:space="0" w:color="EF3942" w:themeColor="accent5"/>
      </w:tblBorders>
    </w:tblPr>
    <w:tcPr>
      <w:shd w:val="clear" w:color="auto" w:fill="EF39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99"/>
    <w:semiHidden/>
    <w:rsid w:val="00570B73"/>
    <w:pPr>
      <w:spacing w:after="0" w:line="240" w:lineRule="auto"/>
    </w:pPr>
    <w:rPr>
      <w:color w:val="FFFFFF" w:themeColor="background1"/>
    </w:rPr>
    <w:tblPr>
      <w:tblStyleRowBandSize w:val="1"/>
      <w:tblStyleColBandSize w:val="1"/>
      <w:tblBorders>
        <w:top w:val="single" w:sz="24" w:space="0" w:color="FDDB03" w:themeColor="accent6"/>
        <w:left w:val="single" w:sz="24" w:space="0" w:color="FDDB03" w:themeColor="accent6"/>
        <w:bottom w:val="single" w:sz="24" w:space="0" w:color="FDDB03" w:themeColor="accent6"/>
        <w:right w:val="single" w:sz="24" w:space="0" w:color="FDDB03" w:themeColor="accent6"/>
      </w:tblBorders>
    </w:tblPr>
    <w:tcPr>
      <w:shd w:val="clear" w:color="auto" w:fill="FDDB0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99"/>
    <w:semiHidden/>
    <w:rsid w:val="00570B7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99"/>
    <w:semiHidden/>
    <w:rsid w:val="00570B73"/>
    <w:pPr>
      <w:spacing w:after="0" w:line="240" w:lineRule="auto"/>
    </w:pPr>
    <w:rPr>
      <w:color w:val="CC8A02" w:themeColor="accent1" w:themeShade="BF"/>
    </w:rPr>
    <w:tblPr>
      <w:tblStyleRowBandSize w:val="1"/>
      <w:tblStyleColBandSize w:val="1"/>
      <w:tblBorders>
        <w:top w:val="single" w:sz="4" w:space="0" w:color="FCB319" w:themeColor="accent1"/>
        <w:bottom w:val="single" w:sz="4" w:space="0" w:color="FCB319" w:themeColor="accent1"/>
      </w:tblBorders>
    </w:tblPr>
    <w:tblStylePr w:type="firstRow">
      <w:rPr>
        <w:b/>
        <w:bCs/>
      </w:rPr>
      <w:tblPr/>
      <w:tcPr>
        <w:tcBorders>
          <w:bottom w:val="single" w:sz="4" w:space="0" w:color="FCB319" w:themeColor="accent1"/>
        </w:tcBorders>
      </w:tcPr>
    </w:tblStylePr>
    <w:tblStylePr w:type="lastRow">
      <w:rPr>
        <w:b/>
        <w:bCs/>
      </w:rPr>
      <w:tblPr/>
      <w:tcPr>
        <w:tcBorders>
          <w:top w:val="double" w:sz="4" w:space="0" w:color="FCB319" w:themeColor="accent1"/>
        </w:tcBorders>
      </w:tcPr>
    </w:tblStylePr>
    <w:tblStylePr w:type="firstCol">
      <w:rPr>
        <w:b/>
        <w:bCs/>
      </w:rPr>
    </w:tblStylePr>
    <w:tblStylePr w:type="lastCol">
      <w:rPr>
        <w:b/>
        <w:bCs/>
      </w:rPr>
    </w:tblStylePr>
    <w:tblStylePr w:type="band1Vert">
      <w:tblPr/>
      <w:tcPr>
        <w:shd w:val="clear" w:color="auto" w:fill="FEEFD0" w:themeFill="accent1" w:themeFillTint="33"/>
      </w:tcPr>
    </w:tblStylePr>
    <w:tblStylePr w:type="band1Horz">
      <w:tblPr/>
      <w:tcPr>
        <w:shd w:val="clear" w:color="auto" w:fill="FEEFD0" w:themeFill="accent1" w:themeFillTint="33"/>
      </w:tcPr>
    </w:tblStylePr>
  </w:style>
  <w:style w:type="table" w:customStyle="1" w:styleId="ListTable6Colorful-Accent21">
    <w:name w:val="List Table 6 Colorful - Accent 21"/>
    <w:basedOn w:val="TableNormal"/>
    <w:uiPriority w:val="99"/>
    <w:semiHidden/>
    <w:rsid w:val="00570B73"/>
    <w:pPr>
      <w:spacing w:after="0" w:line="240" w:lineRule="auto"/>
    </w:pPr>
    <w:rPr>
      <w:color w:val="AC0A66" w:themeColor="accent2" w:themeShade="BF"/>
    </w:rPr>
    <w:tblPr>
      <w:tblStyleRowBandSize w:val="1"/>
      <w:tblStyleColBandSize w:val="1"/>
      <w:tblBorders>
        <w:top w:val="single" w:sz="4" w:space="0" w:color="E70E8A" w:themeColor="accent2"/>
        <w:bottom w:val="single" w:sz="4" w:space="0" w:color="E70E8A" w:themeColor="accent2"/>
      </w:tblBorders>
    </w:tblPr>
    <w:tblStylePr w:type="firstRow">
      <w:rPr>
        <w:b/>
        <w:bCs/>
      </w:rPr>
      <w:tblPr/>
      <w:tcPr>
        <w:tcBorders>
          <w:bottom w:val="single" w:sz="4" w:space="0" w:color="E70E8A" w:themeColor="accent2"/>
        </w:tcBorders>
      </w:tcPr>
    </w:tblStylePr>
    <w:tblStylePr w:type="lastRow">
      <w:rPr>
        <w:b/>
        <w:bCs/>
      </w:rPr>
      <w:tblPr/>
      <w:tcPr>
        <w:tcBorders>
          <w:top w:val="double" w:sz="4" w:space="0" w:color="E70E8A" w:themeColor="accent2"/>
        </w:tcBorders>
      </w:tcPr>
    </w:tblStylePr>
    <w:tblStylePr w:type="firstCol">
      <w:rPr>
        <w:b/>
        <w:bCs/>
      </w:rPr>
    </w:tblStylePr>
    <w:tblStylePr w:type="lastCol">
      <w:rPr>
        <w:b/>
        <w:bCs/>
      </w:rPr>
    </w:tblStylePr>
    <w:tblStylePr w:type="band1Vert">
      <w:tblPr/>
      <w:tcPr>
        <w:shd w:val="clear" w:color="auto" w:fill="FCCDE7" w:themeFill="accent2" w:themeFillTint="33"/>
      </w:tcPr>
    </w:tblStylePr>
    <w:tblStylePr w:type="band1Horz">
      <w:tblPr/>
      <w:tcPr>
        <w:shd w:val="clear" w:color="auto" w:fill="FCCDE7" w:themeFill="accent2" w:themeFillTint="33"/>
      </w:tcPr>
    </w:tblStylePr>
  </w:style>
  <w:style w:type="table" w:customStyle="1" w:styleId="ListTable6Colorful-Accent31">
    <w:name w:val="List Table 6 Colorful - Accent 31"/>
    <w:basedOn w:val="TableNormal"/>
    <w:uiPriority w:val="99"/>
    <w:semiHidden/>
    <w:rsid w:val="00570B73"/>
    <w:pPr>
      <w:spacing w:after="0" w:line="240" w:lineRule="auto"/>
    </w:pPr>
    <w:rPr>
      <w:color w:val="0085AA" w:themeColor="accent3" w:themeShade="BF"/>
    </w:rPr>
    <w:tblPr>
      <w:tblStyleRowBandSize w:val="1"/>
      <w:tblStyleColBandSize w:val="1"/>
      <w:tblBorders>
        <w:top w:val="single" w:sz="4" w:space="0" w:color="00B3E4" w:themeColor="accent3"/>
        <w:bottom w:val="single" w:sz="4" w:space="0" w:color="00B3E4" w:themeColor="accent3"/>
      </w:tblBorders>
    </w:tblPr>
    <w:tblStylePr w:type="firstRow">
      <w:rPr>
        <w:b/>
        <w:bCs/>
      </w:rPr>
      <w:tblPr/>
      <w:tcPr>
        <w:tcBorders>
          <w:bottom w:val="single" w:sz="4" w:space="0" w:color="00B3E4" w:themeColor="accent3"/>
        </w:tcBorders>
      </w:tcPr>
    </w:tblStylePr>
    <w:tblStylePr w:type="lastRow">
      <w:rPr>
        <w:b/>
        <w:bCs/>
      </w:rPr>
      <w:tblPr/>
      <w:tcPr>
        <w:tcBorders>
          <w:top w:val="double" w:sz="4" w:space="0" w:color="00B3E4" w:themeColor="accent3"/>
        </w:tcBorders>
      </w:tcPr>
    </w:tblStylePr>
    <w:tblStylePr w:type="firstCol">
      <w:rPr>
        <w:b/>
        <w:bCs/>
      </w:rPr>
    </w:tblStylePr>
    <w:tblStylePr w:type="lastCol">
      <w:rPr>
        <w:b/>
        <w:bCs/>
      </w:rPr>
    </w:tblStylePr>
    <w:tblStylePr w:type="band1Vert">
      <w:tblPr/>
      <w:tcPr>
        <w:shd w:val="clear" w:color="auto" w:fill="C6F2FF" w:themeFill="accent3" w:themeFillTint="33"/>
      </w:tcPr>
    </w:tblStylePr>
    <w:tblStylePr w:type="band1Horz">
      <w:tblPr/>
      <w:tcPr>
        <w:shd w:val="clear" w:color="auto" w:fill="C6F2FF" w:themeFill="accent3" w:themeFillTint="33"/>
      </w:tcPr>
    </w:tblStylePr>
  </w:style>
  <w:style w:type="table" w:customStyle="1" w:styleId="ListTable6Colorful-Accent41">
    <w:name w:val="List Table 6 Colorful - Accent 41"/>
    <w:basedOn w:val="TableNormal"/>
    <w:uiPriority w:val="99"/>
    <w:semiHidden/>
    <w:rsid w:val="00570B73"/>
    <w:pPr>
      <w:spacing w:after="0" w:line="240" w:lineRule="auto"/>
    </w:pPr>
    <w:rPr>
      <w:color w:val="68962D" w:themeColor="accent4" w:themeShade="BF"/>
    </w:rPr>
    <w:tblPr>
      <w:tblStyleRowBandSize w:val="1"/>
      <w:tblStyleColBandSize w:val="1"/>
      <w:tblBorders>
        <w:top w:val="single" w:sz="4" w:space="0" w:color="8BC640" w:themeColor="accent4"/>
        <w:bottom w:val="single" w:sz="4" w:space="0" w:color="8BC640" w:themeColor="accent4"/>
      </w:tblBorders>
    </w:tblPr>
    <w:tblStylePr w:type="firstRow">
      <w:rPr>
        <w:b/>
        <w:bCs/>
      </w:rPr>
      <w:tblPr/>
      <w:tcPr>
        <w:tcBorders>
          <w:bottom w:val="single" w:sz="4" w:space="0" w:color="8BC640" w:themeColor="accent4"/>
        </w:tcBorders>
      </w:tcPr>
    </w:tblStylePr>
    <w:tblStylePr w:type="lastRow">
      <w:rPr>
        <w:b/>
        <w:bCs/>
      </w:rPr>
      <w:tblPr/>
      <w:tcPr>
        <w:tcBorders>
          <w:top w:val="double" w:sz="4" w:space="0" w:color="8BC640" w:themeColor="accent4"/>
        </w:tcBorders>
      </w:tcPr>
    </w:tblStylePr>
    <w:tblStylePr w:type="firstCol">
      <w:rPr>
        <w:b/>
        <w:bCs/>
      </w:rPr>
    </w:tblStylePr>
    <w:tblStylePr w:type="lastCol">
      <w:rPr>
        <w:b/>
        <w:bCs/>
      </w:rPr>
    </w:tblStylePr>
    <w:tblStylePr w:type="band1Vert">
      <w:tblPr/>
      <w:tcPr>
        <w:shd w:val="clear" w:color="auto" w:fill="E7F3D8" w:themeFill="accent4" w:themeFillTint="33"/>
      </w:tcPr>
    </w:tblStylePr>
    <w:tblStylePr w:type="band1Horz">
      <w:tblPr/>
      <w:tcPr>
        <w:shd w:val="clear" w:color="auto" w:fill="E7F3D8" w:themeFill="accent4" w:themeFillTint="33"/>
      </w:tcPr>
    </w:tblStylePr>
  </w:style>
  <w:style w:type="table" w:customStyle="1" w:styleId="ListTable6Colorful-Accent51">
    <w:name w:val="List Table 6 Colorful - Accent 51"/>
    <w:basedOn w:val="TableNormal"/>
    <w:uiPriority w:val="99"/>
    <w:semiHidden/>
    <w:rsid w:val="00570B73"/>
    <w:pPr>
      <w:spacing w:after="0" w:line="240" w:lineRule="auto"/>
    </w:pPr>
    <w:rPr>
      <w:color w:val="CD1019" w:themeColor="accent5" w:themeShade="BF"/>
    </w:rPr>
    <w:tblPr>
      <w:tblStyleRowBandSize w:val="1"/>
      <w:tblStyleColBandSize w:val="1"/>
      <w:tblBorders>
        <w:top w:val="single" w:sz="4" w:space="0" w:color="EF3942" w:themeColor="accent5"/>
        <w:bottom w:val="single" w:sz="4" w:space="0" w:color="EF3942" w:themeColor="accent5"/>
      </w:tblBorders>
    </w:tblPr>
    <w:tblStylePr w:type="firstRow">
      <w:rPr>
        <w:b/>
        <w:bCs/>
      </w:rPr>
      <w:tblPr/>
      <w:tcPr>
        <w:tcBorders>
          <w:bottom w:val="single" w:sz="4" w:space="0" w:color="EF3942" w:themeColor="accent5"/>
        </w:tcBorders>
      </w:tcPr>
    </w:tblStylePr>
    <w:tblStylePr w:type="lastRow">
      <w:rPr>
        <w:b/>
        <w:bCs/>
      </w:rPr>
      <w:tblPr/>
      <w:tcPr>
        <w:tcBorders>
          <w:top w:val="double" w:sz="4" w:space="0" w:color="EF3942" w:themeColor="accent5"/>
        </w:tcBorders>
      </w:tcPr>
    </w:tblStylePr>
    <w:tblStylePr w:type="firstCol">
      <w:rPr>
        <w:b/>
        <w:bCs/>
      </w:rPr>
    </w:tblStylePr>
    <w:tblStylePr w:type="lastCol">
      <w:rPr>
        <w:b/>
        <w:bCs/>
      </w:rPr>
    </w:tblStylePr>
    <w:tblStylePr w:type="band1Vert">
      <w:tblPr/>
      <w:tcPr>
        <w:shd w:val="clear" w:color="auto" w:fill="FBD7D8" w:themeFill="accent5" w:themeFillTint="33"/>
      </w:tcPr>
    </w:tblStylePr>
    <w:tblStylePr w:type="band1Horz">
      <w:tblPr/>
      <w:tcPr>
        <w:shd w:val="clear" w:color="auto" w:fill="FBD7D8" w:themeFill="accent5" w:themeFillTint="33"/>
      </w:tcPr>
    </w:tblStylePr>
  </w:style>
  <w:style w:type="table" w:customStyle="1" w:styleId="ListTable6Colorful-Accent61">
    <w:name w:val="List Table 6 Colorful - Accent 61"/>
    <w:basedOn w:val="TableNormal"/>
    <w:uiPriority w:val="99"/>
    <w:semiHidden/>
    <w:rsid w:val="00570B73"/>
    <w:pPr>
      <w:spacing w:after="0" w:line="240" w:lineRule="auto"/>
    </w:pPr>
    <w:rPr>
      <w:color w:val="BEA401" w:themeColor="accent6" w:themeShade="BF"/>
    </w:rPr>
    <w:tblPr>
      <w:tblStyleRowBandSize w:val="1"/>
      <w:tblStyleColBandSize w:val="1"/>
      <w:tblBorders>
        <w:top w:val="single" w:sz="4" w:space="0" w:color="FDDB03" w:themeColor="accent6"/>
        <w:bottom w:val="single" w:sz="4" w:space="0" w:color="FDDB03" w:themeColor="accent6"/>
      </w:tblBorders>
    </w:tblPr>
    <w:tblStylePr w:type="firstRow">
      <w:rPr>
        <w:b/>
        <w:bCs/>
      </w:rPr>
      <w:tblPr/>
      <w:tcPr>
        <w:tcBorders>
          <w:bottom w:val="single" w:sz="4" w:space="0" w:color="FDDB03" w:themeColor="accent6"/>
        </w:tcBorders>
      </w:tcPr>
    </w:tblStylePr>
    <w:tblStylePr w:type="lastRow">
      <w:rPr>
        <w:b/>
        <w:bCs/>
      </w:rPr>
      <w:tblPr/>
      <w:tcPr>
        <w:tcBorders>
          <w:top w:val="double" w:sz="4" w:space="0" w:color="FDDB03" w:themeColor="accent6"/>
        </w:tcBorders>
      </w:tcPr>
    </w:tblStylePr>
    <w:tblStylePr w:type="firstCol">
      <w:rPr>
        <w:b/>
        <w:bCs/>
      </w:rPr>
    </w:tblStylePr>
    <w:tblStylePr w:type="lastCol">
      <w:rPr>
        <w:b/>
        <w:bCs/>
      </w:rPr>
    </w:tblStylePr>
    <w:tblStylePr w:type="band1Vert">
      <w:tblPr/>
      <w:tcPr>
        <w:shd w:val="clear" w:color="auto" w:fill="FEF7CC" w:themeFill="accent6" w:themeFillTint="33"/>
      </w:tcPr>
    </w:tblStylePr>
    <w:tblStylePr w:type="band1Horz">
      <w:tblPr/>
      <w:tcPr>
        <w:shd w:val="clear" w:color="auto" w:fill="FEF7CC" w:themeFill="accent6" w:themeFillTint="33"/>
      </w:tcPr>
    </w:tblStylePr>
  </w:style>
  <w:style w:type="table" w:customStyle="1" w:styleId="ListTable7Colorful1">
    <w:name w:val="List Table 7 Colorful1"/>
    <w:basedOn w:val="TableNormal"/>
    <w:uiPriority w:val="99"/>
    <w:semiHidden/>
    <w:rsid w:val="00570B7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99"/>
    <w:semiHidden/>
    <w:rsid w:val="00570B73"/>
    <w:pPr>
      <w:spacing w:after="0" w:line="240" w:lineRule="auto"/>
    </w:pPr>
    <w:rPr>
      <w:color w:val="CC8A0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B31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B31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B31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B319" w:themeColor="accent1"/>
        </w:tcBorders>
        <w:shd w:val="clear" w:color="auto" w:fill="FFFFFF" w:themeFill="background1"/>
      </w:tcPr>
    </w:tblStylePr>
    <w:tblStylePr w:type="band1Vert">
      <w:tblPr/>
      <w:tcPr>
        <w:shd w:val="clear" w:color="auto" w:fill="FEEFD0" w:themeFill="accent1" w:themeFillTint="33"/>
      </w:tcPr>
    </w:tblStylePr>
    <w:tblStylePr w:type="band1Horz">
      <w:tblPr/>
      <w:tcPr>
        <w:shd w:val="clear" w:color="auto" w:fill="FEEF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99"/>
    <w:semiHidden/>
    <w:rsid w:val="00570B73"/>
    <w:pPr>
      <w:spacing w:after="0" w:line="240" w:lineRule="auto"/>
    </w:pPr>
    <w:rPr>
      <w:color w:val="AC0A6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0E8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0E8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0E8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0E8A" w:themeColor="accent2"/>
        </w:tcBorders>
        <w:shd w:val="clear" w:color="auto" w:fill="FFFFFF" w:themeFill="background1"/>
      </w:tcPr>
    </w:tblStylePr>
    <w:tblStylePr w:type="band1Vert">
      <w:tblPr/>
      <w:tcPr>
        <w:shd w:val="clear" w:color="auto" w:fill="FCCDE7" w:themeFill="accent2" w:themeFillTint="33"/>
      </w:tcPr>
    </w:tblStylePr>
    <w:tblStylePr w:type="band1Horz">
      <w:tblPr/>
      <w:tcPr>
        <w:shd w:val="clear" w:color="auto" w:fill="FCCDE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99"/>
    <w:semiHidden/>
    <w:rsid w:val="00570B73"/>
    <w:pPr>
      <w:spacing w:after="0" w:line="240" w:lineRule="auto"/>
    </w:pPr>
    <w:rPr>
      <w:color w:val="0085A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3E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3E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3E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3E4" w:themeColor="accent3"/>
        </w:tcBorders>
        <w:shd w:val="clear" w:color="auto" w:fill="FFFFFF" w:themeFill="background1"/>
      </w:tcPr>
    </w:tblStylePr>
    <w:tblStylePr w:type="band1Vert">
      <w:tblPr/>
      <w:tcPr>
        <w:shd w:val="clear" w:color="auto" w:fill="C6F2FF" w:themeFill="accent3" w:themeFillTint="33"/>
      </w:tcPr>
    </w:tblStylePr>
    <w:tblStylePr w:type="band1Horz">
      <w:tblPr/>
      <w:tcPr>
        <w:shd w:val="clear" w:color="auto" w:fill="C6F2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99"/>
    <w:semiHidden/>
    <w:rsid w:val="00570B73"/>
    <w:pPr>
      <w:spacing w:after="0" w:line="240" w:lineRule="auto"/>
    </w:pPr>
    <w:rPr>
      <w:color w:val="6896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BC64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BC64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BC64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BC640" w:themeColor="accent4"/>
        </w:tcBorders>
        <w:shd w:val="clear" w:color="auto" w:fill="FFFFFF" w:themeFill="background1"/>
      </w:tcPr>
    </w:tblStylePr>
    <w:tblStylePr w:type="band1Vert">
      <w:tblPr/>
      <w:tcPr>
        <w:shd w:val="clear" w:color="auto" w:fill="E7F3D8" w:themeFill="accent4" w:themeFillTint="33"/>
      </w:tcPr>
    </w:tblStylePr>
    <w:tblStylePr w:type="band1Horz">
      <w:tblPr/>
      <w:tcPr>
        <w:shd w:val="clear" w:color="auto" w:fill="E7F3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99"/>
    <w:semiHidden/>
    <w:rsid w:val="00570B73"/>
    <w:pPr>
      <w:spacing w:after="0" w:line="240" w:lineRule="auto"/>
    </w:pPr>
    <w:rPr>
      <w:color w:val="CD101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F39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F39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F39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F3942" w:themeColor="accent5"/>
        </w:tcBorders>
        <w:shd w:val="clear" w:color="auto" w:fill="FFFFFF" w:themeFill="background1"/>
      </w:tcPr>
    </w:tblStylePr>
    <w:tblStylePr w:type="band1Vert">
      <w:tblPr/>
      <w:tcPr>
        <w:shd w:val="clear" w:color="auto" w:fill="FBD7D8" w:themeFill="accent5" w:themeFillTint="33"/>
      </w:tcPr>
    </w:tblStylePr>
    <w:tblStylePr w:type="band1Horz">
      <w:tblPr/>
      <w:tcPr>
        <w:shd w:val="clear" w:color="auto" w:fill="FBD7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99"/>
    <w:semiHidden/>
    <w:rsid w:val="00570B73"/>
    <w:pPr>
      <w:spacing w:after="0" w:line="240" w:lineRule="auto"/>
    </w:pPr>
    <w:rPr>
      <w:color w:val="BEA4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DB0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DB0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DB0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DB03" w:themeColor="accent6"/>
        </w:tcBorders>
        <w:shd w:val="clear" w:color="auto" w:fill="FFFFFF" w:themeFill="background1"/>
      </w:tcPr>
    </w:tblStylePr>
    <w:tblStylePr w:type="band1Vert">
      <w:tblPr/>
      <w:tcPr>
        <w:shd w:val="clear" w:color="auto" w:fill="FEF7CC" w:themeFill="accent6" w:themeFillTint="33"/>
      </w:tcPr>
    </w:tblStylePr>
    <w:tblStylePr w:type="band1Horz">
      <w:tblPr/>
      <w:tcPr>
        <w:shd w:val="clear" w:color="auto" w:fill="FEF7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70B7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570B73"/>
    <w:rPr>
      <w:rFonts w:ascii="Consolas" w:hAnsi="Consolas"/>
      <w:sz w:val="20"/>
      <w:szCs w:val="20"/>
    </w:rPr>
  </w:style>
  <w:style w:type="table" w:styleId="MediumGrid1">
    <w:name w:val="Medium Grid 1"/>
    <w:basedOn w:val="TableNormal"/>
    <w:uiPriority w:val="67"/>
    <w:semiHidden/>
    <w:unhideWhenUsed/>
    <w:rsid w:val="00570B7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70B73"/>
    <w:pPr>
      <w:spacing w:after="0" w:line="240" w:lineRule="auto"/>
    </w:pPr>
    <w:tblPr>
      <w:tblStyleRowBandSize w:val="1"/>
      <w:tblStyleColBandSize w:val="1"/>
      <w:tblBorders>
        <w:top w:val="single" w:sz="8" w:space="0" w:color="FCC552" w:themeColor="accent1" w:themeTint="BF"/>
        <w:left w:val="single" w:sz="8" w:space="0" w:color="FCC552" w:themeColor="accent1" w:themeTint="BF"/>
        <w:bottom w:val="single" w:sz="8" w:space="0" w:color="FCC552" w:themeColor="accent1" w:themeTint="BF"/>
        <w:right w:val="single" w:sz="8" w:space="0" w:color="FCC552" w:themeColor="accent1" w:themeTint="BF"/>
        <w:insideH w:val="single" w:sz="8" w:space="0" w:color="FCC552" w:themeColor="accent1" w:themeTint="BF"/>
        <w:insideV w:val="single" w:sz="8" w:space="0" w:color="FCC552" w:themeColor="accent1" w:themeTint="BF"/>
      </w:tblBorders>
    </w:tblPr>
    <w:tcPr>
      <w:shd w:val="clear" w:color="auto" w:fill="FEEBC6" w:themeFill="accent1" w:themeFillTint="3F"/>
    </w:tcPr>
    <w:tblStylePr w:type="firstRow">
      <w:rPr>
        <w:b/>
        <w:bCs/>
      </w:rPr>
    </w:tblStylePr>
    <w:tblStylePr w:type="lastRow">
      <w:rPr>
        <w:b/>
        <w:bCs/>
      </w:rPr>
      <w:tblPr/>
      <w:tcPr>
        <w:tcBorders>
          <w:top w:val="single" w:sz="18" w:space="0" w:color="FCC552" w:themeColor="accent1" w:themeTint="BF"/>
        </w:tcBorders>
      </w:tcPr>
    </w:tblStylePr>
    <w:tblStylePr w:type="firstCol">
      <w:rPr>
        <w:b/>
        <w:bCs/>
      </w:rPr>
    </w:tblStylePr>
    <w:tblStylePr w:type="lastCol">
      <w:rPr>
        <w:b/>
        <w:bCs/>
      </w:rPr>
    </w:tblStylePr>
    <w:tblStylePr w:type="band1Vert">
      <w:tblPr/>
      <w:tcPr>
        <w:shd w:val="clear" w:color="auto" w:fill="FDD88C" w:themeFill="accent1" w:themeFillTint="7F"/>
      </w:tcPr>
    </w:tblStylePr>
    <w:tblStylePr w:type="band1Horz">
      <w:tblPr/>
      <w:tcPr>
        <w:shd w:val="clear" w:color="auto" w:fill="FDD88C" w:themeFill="accent1" w:themeFillTint="7F"/>
      </w:tcPr>
    </w:tblStylePr>
  </w:style>
  <w:style w:type="table" w:styleId="MediumGrid1-Accent2">
    <w:name w:val="Medium Grid 1 Accent 2"/>
    <w:basedOn w:val="TableNormal"/>
    <w:uiPriority w:val="67"/>
    <w:semiHidden/>
    <w:unhideWhenUsed/>
    <w:rsid w:val="00570B73"/>
    <w:pPr>
      <w:spacing w:after="0" w:line="240" w:lineRule="auto"/>
    </w:pPr>
    <w:tblPr>
      <w:tblStyleRowBandSize w:val="1"/>
      <w:tblStyleColBandSize w:val="1"/>
      <w:tblBorders>
        <w:top w:val="single" w:sz="8" w:space="0" w:color="F343A7" w:themeColor="accent2" w:themeTint="BF"/>
        <w:left w:val="single" w:sz="8" w:space="0" w:color="F343A7" w:themeColor="accent2" w:themeTint="BF"/>
        <w:bottom w:val="single" w:sz="8" w:space="0" w:color="F343A7" w:themeColor="accent2" w:themeTint="BF"/>
        <w:right w:val="single" w:sz="8" w:space="0" w:color="F343A7" w:themeColor="accent2" w:themeTint="BF"/>
        <w:insideH w:val="single" w:sz="8" w:space="0" w:color="F343A7" w:themeColor="accent2" w:themeTint="BF"/>
        <w:insideV w:val="single" w:sz="8" w:space="0" w:color="F343A7" w:themeColor="accent2" w:themeTint="BF"/>
      </w:tblBorders>
    </w:tblPr>
    <w:tcPr>
      <w:shd w:val="clear" w:color="auto" w:fill="FBC1E2" w:themeFill="accent2" w:themeFillTint="3F"/>
    </w:tcPr>
    <w:tblStylePr w:type="firstRow">
      <w:rPr>
        <w:b/>
        <w:bCs/>
      </w:rPr>
    </w:tblStylePr>
    <w:tblStylePr w:type="lastRow">
      <w:rPr>
        <w:b/>
        <w:bCs/>
      </w:rPr>
      <w:tblPr/>
      <w:tcPr>
        <w:tcBorders>
          <w:top w:val="single" w:sz="18" w:space="0" w:color="F343A7" w:themeColor="accent2" w:themeTint="BF"/>
        </w:tcBorders>
      </w:tcPr>
    </w:tblStylePr>
    <w:tblStylePr w:type="firstCol">
      <w:rPr>
        <w:b/>
        <w:bCs/>
      </w:rPr>
    </w:tblStylePr>
    <w:tblStylePr w:type="lastCol">
      <w:rPr>
        <w:b/>
        <w:bCs/>
      </w:rPr>
    </w:tblStylePr>
    <w:tblStylePr w:type="band1Vert">
      <w:tblPr/>
      <w:tcPr>
        <w:shd w:val="clear" w:color="auto" w:fill="F782C5" w:themeFill="accent2" w:themeFillTint="7F"/>
      </w:tcPr>
    </w:tblStylePr>
    <w:tblStylePr w:type="band1Horz">
      <w:tblPr/>
      <w:tcPr>
        <w:shd w:val="clear" w:color="auto" w:fill="F782C5" w:themeFill="accent2" w:themeFillTint="7F"/>
      </w:tcPr>
    </w:tblStylePr>
  </w:style>
  <w:style w:type="table" w:styleId="MediumGrid1-Accent3">
    <w:name w:val="Medium Grid 1 Accent 3"/>
    <w:basedOn w:val="TableNormal"/>
    <w:uiPriority w:val="67"/>
    <w:semiHidden/>
    <w:unhideWhenUsed/>
    <w:rsid w:val="00570B73"/>
    <w:pPr>
      <w:spacing w:after="0" w:line="240" w:lineRule="auto"/>
    </w:pPr>
    <w:tblPr>
      <w:tblStyleRowBandSize w:val="1"/>
      <w:tblStyleColBandSize w:val="1"/>
      <w:tblBorders>
        <w:top w:val="single" w:sz="8" w:space="0" w:color="2BD1FF" w:themeColor="accent3" w:themeTint="BF"/>
        <w:left w:val="single" w:sz="8" w:space="0" w:color="2BD1FF" w:themeColor="accent3" w:themeTint="BF"/>
        <w:bottom w:val="single" w:sz="8" w:space="0" w:color="2BD1FF" w:themeColor="accent3" w:themeTint="BF"/>
        <w:right w:val="single" w:sz="8" w:space="0" w:color="2BD1FF" w:themeColor="accent3" w:themeTint="BF"/>
        <w:insideH w:val="single" w:sz="8" w:space="0" w:color="2BD1FF" w:themeColor="accent3" w:themeTint="BF"/>
        <w:insideV w:val="single" w:sz="8" w:space="0" w:color="2BD1FF" w:themeColor="accent3" w:themeTint="BF"/>
      </w:tblBorders>
    </w:tblPr>
    <w:tcPr>
      <w:shd w:val="clear" w:color="auto" w:fill="B9EFFF" w:themeFill="accent3" w:themeFillTint="3F"/>
    </w:tcPr>
    <w:tblStylePr w:type="firstRow">
      <w:rPr>
        <w:b/>
        <w:bCs/>
      </w:rPr>
    </w:tblStylePr>
    <w:tblStylePr w:type="lastRow">
      <w:rPr>
        <w:b/>
        <w:bCs/>
      </w:rPr>
      <w:tblPr/>
      <w:tcPr>
        <w:tcBorders>
          <w:top w:val="single" w:sz="18" w:space="0" w:color="2BD1FF" w:themeColor="accent3" w:themeTint="BF"/>
        </w:tcBorders>
      </w:tcPr>
    </w:tblStylePr>
    <w:tblStylePr w:type="firstCol">
      <w:rPr>
        <w:b/>
        <w:bCs/>
      </w:rPr>
    </w:tblStylePr>
    <w:tblStylePr w:type="lastCol">
      <w:rPr>
        <w:b/>
        <w:bCs/>
      </w:rPr>
    </w:tblStylePr>
    <w:tblStylePr w:type="band1Vert">
      <w:tblPr/>
      <w:tcPr>
        <w:shd w:val="clear" w:color="auto" w:fill="72E0FF" w:themeFill="accent3" w:themeFillTint="7F"/>
      </w:tcPr>
    </w:tblStylePr>
    <w:tblStylePr w:type="band1Horz">
      <w:tblPr/>
      <w:tcPr>
        <w:shd w:val="clear" w:color="auto" w:fill="72E0FF" w:themeFill="accent3" w:themeFillTint="7F"/>
      </w:tcPr>
    </w:tblStylePr>
  </w:style>
  <w:style w:type="table" w:styleId="MediumGrid1-Accent4">
    <w:name w:val="Medium Grid 1 Accent 4"/>
    <w:basedOn w:val="TableNormal"/>
    <w:uiPriority w:val="67"/>
    <w:semiHidden/>
    <w:unhideWhenUsed/>
    <w:rsid w:val="00570B73"/>
    <w:pPr>
      <w:spacing w:after="0" w:line="240" w:lineRule="auto"/>
    </w:pPr>
    <w:tblPr>
      <w:tblStyleRowBandSize w:val="1"/>
      <w:tblStyleColBandSize w:val="1"/>
      <w:tblBorders>
        <w:top w:val="single" w:sz="8" w:space="0" w:color="A7D46F" w:themeColor="accent4" w:themeTint="BF"/>
        <w:left w:val="single" w:sz="8" w:space="0" w:color="A7D46F" w:themeColor="accent4" w:themeTint="BF"/>
        <w:bottom w:val="single" w:sz="8" w:space="0" w:color="A7D46F" w:themeColor="accent4" w:themeTint="BF"/>
        <w:right w:val="single" w:sz="8" w:space="0" w:color="A7D46F" w:themeColor="accent4" w:themeTint="BF"/>
        <w:insideH w:val="single" w:sz="8" w:space="0" w:color="A7D46F" w:themeColor="accent4" w:themeTint="BF"/>
        <w:insideV w:val="single" w:sz="8" w:space="0" w:color="A7D46F" w:themeColor="accent4" w:themeTint="BF"/>
      </w:tblBorders>
    </w:tblPr>
    <w:tcPr>
      <w:shd w:val="clear" w:color="auto" w:fill="E2F1CF" w:themeFill="accent4" w:themeFillTint="3F"/>
    </w:tcPr>
    <w:tblStylePr w:type="firstRow">
      <w:rPr>
        <w:b/>
        <w:bCs/>
      </w:rPr>
    </w:tblStylePr>
    <w:tblStylePr w:type="lastRow">
      <w:rPr>
        <w:b/>
        <w:bCs/>
      </w:rPr>
      <w:tblPr/>
      <w:tcPr>
        <w:tcBorders>
          <w:top w:val="single" w:sz="18" w:space="0" w:color="A7D46F" w:themeColor="accent4" w:themeTint="BF"/>
        </w:tcBorders>
      </w:tcPr>
    </w:tblStylePr>
    <w:tblStylePr w:type="firstCol">
      <w:rPr>
        <w:b/>
        <w:bCs/>
      </w:rPr>
    </w:tblStylePr>
    <w:tblStylePr w:type="lastCol">
      <w:rPr>
        <w:b/>
        <w:bCs/>
      </w:rPr>
    </w:tblStylePr>
    <w:tblStylePr w:type="band1Vert">
      <w:tblPr/>
      <w:tcPr>
        <w:shd w:val="clear" w:color="auto" w:fill="C4E29F" w:themeFill="accent4" w:themeFillTint="7F"/>
      </w:tcPr>
    </w:tblStylePr>
    <w:tblStylePr w:type="band1Horz">
      <w:tblPr/>
      <w:tcPr>
        <w:shd w:val="clear" w:color="auto" w:fill="C4E29F" w:themeFill="accent4" w:themeFillTint="7F"/>
      </w:tcPr>
    </w:tblStylePr>
  </w:style>
  <w:style w:type="table" w:styleId="MediumGrid1-Accent5">
    <w:name w:val="Medium Grid 1 Accent 5"/>
    <w:basedOn w:val="TableNormal"/>
    <w:uiPriority w:val="67"/>
    <w:semiHidden/>
    <w:unhideWhenUsed/>
    <w:rsid w:val="00570B73"/>
    <w:pPr>
      <w:spacing w:after="0" w:line="240" w:lineRule="auto"/>
    </w:pPr>
    <w:tblPr>
      <w:tblStyleRowBandSize w:val="1"/>
      <w:tblStyleColBandSize w:val="1"/>
      <w:tblBorders>
        <w:top w:val="single" w:sz="8" w:space="0" w:color="F36A70" w:themeColor="accent5" w:themeTint="BF"/>
        <w:left w:val="single" w:sz="8" w:space="0" w:color="F36A70" w:themeColor="accent5" w:themeTint="BF"/>
        <w:bottom w:val="single" w:sz="8" w:space="0" w:color="F36A70" w:themeColor="accent5" w:themeTint="BF"/>
        <w:right w:val="single" w:sz="8" w:space="0" w:color="F36A70" w:themeColor="accent5" w:themeTint="BF"/>
        <w:insideH w:val="single" w:sz="8" w:space="0" w:color="F36A70" w:themeColor="accent5" w:themeTint="BF"/>
        <w:insideV w:val="single" w:sz="8" w:space="0" w:color="F36A70" w:themeColor="accent5" w:themeTint="BF"/>
      </w:tblBorders>
    </w:tblPr>
    <w:tcPr>
      <w:shd w:val="clear" w:color="auto" w:fill="FBCDCF" w:themeFill="accent5" w:themeFillTint="3F"/>
    </w:tcPr>
    <w:tblStylePr w:type="firstRow">
      <w:rPr>
        <w:b/>
        <w:bCs/>
      </w:rPr>
    </w:tblStylePr>
    <w:tblStylePr w:type="lastRow">
      <w:rPr>
        <w:b/>
        <w:bCs/>
      </w:rPr>
      <w:tblPr/>
      <w:tcPr>
        <w:tcBorders>
          <w:top w:val="single" w:sz="18" w:space="0" w:color="F36A70" w:themeColor="accent5" w:themeTint="BF"/>
        </w:tcBorders>
      </w:tcPr>
    </w:tblStylePr>
    <w:tblStylePr w:type="firstCol">
      <w:rPr>
        <w:b/>
        <w:bCs/>
      </w:rPr>
    </w:tblStylePr>
    <w:tblStylePr w:type="lastCol">
      <w:rPr>
        <w:b/>
        <w:bCs/>
      </w:rPr>
    </w:tblStylePr>
    <w:tblStylePr w:type="band1Vert">
      <w:tblPr/>
      <w:tcPr>
        <w:shd w:val="clear" w:color="auto" w:fill="F79CA0" w:themeFill="accent5" w:themeFillTint="7F"/>
      </w:tcPr>
    </w:tblStylePr>
    <w:tblStylePr w:type="band1Horz">
      <w:tblPr/>
      <w:tcPr>
        <w:shd w:val="clear" w:color="auto" w:fill="F79CA0" w:themeFill="accent5" w:themeFillTint="7F"/>
      </w:tcPr>
    </w:tblStylePr>
  </w:style>
  <w:style w:type="table" w:styleId="MediumGrid1-Accent6">
    <w:name w:val="Medium Grid 1 Accent 6"/>
    <w:basedOn w:val="TableNormal"/>
    <w:uiPriority w:val="67"/>
    <w:semiHidden/>
    <w:unhideWhenUsed/>
    <w:rsid w:val="00570B73"/>
    <w:pPr>
      <w:spacing w:after="0" w:line="240" w:lineRule="auto"/>
    </w:pPr>
    <w:tblPr>
      <w:tblStyleRowBandSize w:val="1"/>
      <w:tblStyleColBandSize w:val="1"/>
      <w:tblBorders>
        <w:top w:val="single" w:sz="8" w:space="0" w:color="FDE342" w:themeColor="accent6" w:themeTint="BF"/>
        <w:left w:val="single" w:sz="8" w:space="0" w:color="FDE342" w:themeColor="accent6" w:themeTint="BF"/>
        <w:bottom w:val="single" w:sz="8" w:space="0" w:color="FDE342" w:themeColor="accent6" w:themeTint="BF"/>
        <w:right w:val="single" w:sz="8" w:space="0" w:color="FDE342" w:themeColor="accent6" w:themeTint="BF"/>
        <w:insideH w:val="single" w:sz="8" w:space="0" w:color="FDE342" w:themeColor="accent6" w:themeTint="BF"/>
        <w:insideV w:val="single" w:sz="8" w:space="0" w:color="FDE342" w:themeColor="accent6" w:themeTint="BF"/>
      </w:tblBorders>
    </w:tblPr>
    <w:tcPr>
      <w:shd w:val="clear" w:color="auto" w:fill="FEF5C0" w:themeFill="accent6" w:themeFillTint="3F"/>
    </w:tcPr>
    <w:tblStylePr w:type="firstRow">
      <w:rPr>
        <w:b/>
        <w:bCs/>
      </w:rPr>
    </w:tblStylePr>
    <w:tblStylePr w:type="lastRow">
      <w:rPr>
        <w:b/>
        <w:bCs/>
      </w:rPr>
      <w:tblPr/>
      <w:tcPr>
        <w:tcBorders>
          <w:top w:val="single" w:sz="18" w:space="0" w:color="FDE342" w:themeColor="accent6" w:themeTint="BF"/>
        </w:tcBorders>
      </w:tcPr>
    </w:tblStylePr>
    <w:tblStylePr w:type="firstCol">
      <w:rPr>
        <w:b/>
        <w:bCs/>
      </w:rPr>
    </w:tblStylePr>
    <w:tblStylePr w:type="lastCol">
      <w:rPr>
        <w:b/>
        <w:bCs/>
      </w:rPr>
    </w:tblStylePr>
    <w:tblStylePr w:type="band1Vert">
      <w:tblPr/>
      <w:tcPr>
        <w:shd w:val="clear" w:color="auto" w:fill="FEEC81" w:themeFill="accent6" w:themeFillTint="7F"/>
      </w:tcPr>
    </w:tblStylePr>
    <w:tblStylePr w:type="band1Horz">
      <w:tblPr/>
      <w:tcPr>
        <w:shd w:val="clear" w:color="auto" w:fill="FEEC81" w:themeFill="accent6" w:themeFillTint="7F"/>
      </w:tcPr>
    </w:tblStylePr>
  </w:style>
  <w:style w:type="table" w:styleId="MediumGrid2">
    <w:name w:val="Medium Grid 2"/>
    <w:basedOn w:val="TableNormal"/>
    <w:uiPriority w:val="68"/>
    <w:semiHidden/>
    <w:unhideWhenUsed/>
    <w:rsid w:val="00570B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70B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B319" w:themeColor="accent1"/>
        <w:left w:val="single" w:sz="8" w:space="0" w:color="FCB319" w:themeColor="accent1"/>
        <w:bottom w:val="single" w:sz="8" w:space="0" w:color="FCB319" w:themeColor="accent1"/>
        <w:right w:val="single" w:sz="8" w:space="0" w:color="FCB319" w:themeColor="accent1"/>
        <w:insideH w:val="single" w:sz="8" w:space="0" w:color="FCB319" w:themeColor="accent1"/>
        <w:insideV w:val="single" w:sz="8" w:space="0" w:color="FCB319" w:themeColor="accent1"/>
      </w:tblBorders>
    </w:tblPr>
    <w:tcPr>
      <w:shd w:val="clear" w:color="auto" w:fill="FEEBC6" w:themeFill="accent1" w:themeFillTint="3F"/>
    </w:tcPr>
    <w:tblStylePr w:type="firstRow">
      <w:rPr>
        <w:b/>
        <w:bCs/>
        <w:color w:val="000000" w:themeColor="text1"/>
      </w:rPr>
      <w:tblPr/>
      <w:tcPr>
        <w:shd w:val="clear" w:color="auto" w:fill="FEF7E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FD0" w:themeFill="accent1" w:themeFillTint="33"/>
      </w:tcPr>
    </w:tblStylePr>
    <w:tblStylePr w:type="band1Vert">
      <w:tblPr/>
      <w:tcPr>
        <w:shd w:val="clear" w:color="auto" w:fill="FDD88C" w:themeFill="accent1" w:themeFillTint="7F"/>
      </w:tcPr>
    </w:tblStylePr>
    <w:tblStylePr w:type="band1Horz">
      <w:tblPr/>
      <w:tcPr>
        <w:tcBorders>
          <w:insideH w:val="single" w:sz="6" w:space="0" w:color="FCB319" w:themeColor="accent1"/>
          <w:insideV w:val="single" w:sz="6" w:space="0" w:color="FCB319" w:themeColor="accent1"/>
        </w:tcBorders>
        <w:shd w:val="clear" w:color="auto" w:fill="FDD8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70B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70E8A" w:themeColor="accent2"/>
        <w:left w:val="single" w:sz="8" w:space="0" w:color="E70E8A" w:themeColor="accent2"/>
        <w:bottom w:val="single" w:sz="8" w:space="0" w:color="E70E8A" w:themeColor="accent2"/>
        <w:right w:val="single" w:sz="8" w:space="0" w:color="E70E8A" w:themeColor="accent2"/>
        <w:insideH w:val="single" w:sz="8" w:space="0" w:color="E70E8A" w:themeColor="accent2"/>
        <w:insideV w:val="single" w:sz="8" w:space="0" w:color="E70E8A" w:themeColor="accent2"/>
      </w:tblBorders>
    </w:tblPr>
    <w:tcPr>
      <w:shd w:val="clear" w:color="auto" w:fill="FBC1E2" w:themeFill="accent2" w:themeFillTint="3F"/>
    </w:tcPr>
    <w:tblStylePr w:type="firstRow">
      <w:rPr>
        <w:b/>
        <w:bCs/>
        <w:color w:val="000000" w:themeColor="text1"/>
      </w:rPr>
      <w:tblPr/>
      <w:tcPr>
        <w:shd w:val="clear" w:color="auto" w:fill="FDE6F3"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CDE7" w:themeFill="accent2" w:themeFillTint="33"/>
      </w:tcPr>
    </w:tblStylePr>
    <w:tblStylePr w:type="band1Vert">
      <w:tblPr/>
      <w:tcPr>
        <w:shd w:val="clear" w:color="auto" w:fill="F782C5" w:themeFill="accent2" w:themeFillTint="7F"/>
      </w:tcPr>
    </w:tblStylePr>
    <w:tblStylePr w:type="band1Horz">
      <w:tblPr/>
      <w:tcPr>
        <w:tcBorders>
          <w:insideH w:val="single" w:sz="6" w:space="0" w:color="E70E8A" w:themeColor="accent2"/>
          <w:insideV w:val="single" w:sz="6" w:space="0" w:color="E70E8A" w:themeColor="accent2"/>
        </w:tcBorders>
        <w:shd w:val="clear" w:color="auto" w:fill="F782C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70B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3E4" w:themeColor="accent3"/>
        <w:left w:val="single" w:sz="8" w:space="0" w:color="00B3E4" w:themeColor="accent3"/>
        <w:bottom w:val="single" w:sz="8" w:space="0" w:color="00B3E4" w:themeColor="accent3"/>
        <w:right w:val="single" w:sz="8" w:space="0" w:color="00B3E4" w:themeColor="accent3"/>
        <w:insideH w:val="single" w:sz="8" w:space="0" w:color="00B3E4" w:themeColor="accent3"/>
        <w:insideV w:val="single" w:sz="8" w:space="0" w:color="00B3E4" w:themeColor="accent3"/>
      </w:tblBorders>
    </w:tblPr>
    <w:tcPr>
      <w:shd w:val="clear" w:color="auto" w:fill="B9EFFF" w:themeFill="accent3" w:themeFillTint="3F"/>
    </w:tcPr>
    <w:tblStylePr w:type="firstRow">
      <w:rPr>
        <w:b/>
        <w:bCs/>
        <w:color w:val="000000" w:themeColor="text1"/>
      </w:rPr>
      <w:tblPr/>
      <w:tcPr>
        <w:shd w:val="clear" w:color="auto" w:fill="E3F9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2FF" w:themeFill="accent3" w:themeFillTint="33"/>
      </w:tcPr>
    </w:tblStylePr>
    <w:tblStylePr w:type="band1Vert">
      <w:tblPr/>
      <w:tcPr>
        <w:shd w:val="clear" w:color="auto" w:fill="72E0FF" w:themeFill="accent3" w:themeFillTint="7F"/>
      </w:tcPr>
    </w:tblStylePr>
    <w:tblStylePr w:type="band1Horz">
      <w:tblPr/>
      <w:tcPr>
        <w:tcBorders>
          <w:insideH w:val="single" w:sz="6" w:space="0" w:color="00B3E4" w:themeColor="accent3"/>
          <w:insideV w:val="single" w:sz="6" w:space="0" w:color="00B3E4" w:themeColor="accent3"/>
        </w:tcBorders>
        <w:shd w:val="clear" w:color="auto" w:fill="72E0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70B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BC640" w:themeColor="accent4"/>
        <w:left w:val="single" w:sz="8" w:space="0" w:color="8BC640" w:themeColor="accent4"/>
        <w:bottom w:val="single" w:sz="8" w:space="0" w:color="8BC640" w:themeColor="accent4"/>
        <w:right w:val="single" w:sz="8" w:space="0" w:color="8BC640" w:themeColor="accent4"/>
        <w:insideH w:val="single" w:sz="8" w:space="0" w:color="8BC640" w:themeColor="accent4"/>
        <w:insideV w:val="single" w:sz="8" w:space="0" w:color="8BC640" w:themeColor="accent4"/>
      </w:tblBorders>
    </w:tblPr>
    <w:tcPr>
      <w:shd w:val="clear" w:color="auto" w:fill="E2F1CF" w:themeFill="accent4" w:themeFillTint="3F"/>
    </w:tcPr>
    <w:tblStylePr w:type="firstRow">
      <w:rPr>
        <w:b/>
        <w:bCs/>
        <w:color w:val="000000" w:themeColor="text1"/>
      </w:rPr>
      <w:tblPr/>
      <w:tcPr>
        <w:shd w:val="clear" w:color="auto" w:fill="F3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3D8" w:themeFill="accent4" w:themeFillTint="33"/>
      </w:tcPr>
    </w:tblStylePr>
    <w:tblStylePr w:type="band1Vert">
      <w:tblPr/>
      <w:tcPr>
        <w:shd w:val="clear" w:color="auto" w:fill="C4E29F" w:themeFill="accent4" w:themeFillTint="7F"/>
      </w:tcPr>
    </w:tblStylePr>
    <w:tblStylePr w:type="band1Horz">
      <w:tblPr/>
      <w:tcPr>
        <w:tcBorders>
          <w:insideH w:val="single" w:sz="6" w:space="0" w:color="8BC640" w:themeColor="accent4"/>
          <w:insideV w:val="single" w:sz="6" w:space="0" w:color="8BC640" w:themeColor="accent4"/>
        </w:tcBorders>
        <w:shd w:val="clear" w:color="auto" w:fill="C4E29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70B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F3942" w:themeColor="accent5"/>
        <w:left w:val="single" w:sz="8" w:space="0" w:color="EF3942" w:themeColor="accent5"/>
        <w:bottom w:val="single" w:sz="8" w:space="0" w:color="EF3942" w:themeColor="accent5"/>
        <w:right w:val="single" w:sz="8" w:space="0" w:color="EF3942" w:themeColor="accent5"/>
        <w:insideH w:val="single" w:sz="8" w:space="0" w:color="EF3942" w:themeColor="accent5"/>
        <w:insideV w:val="single" w:sz="8" w:space="0" w:color="EF3942" w:themeColor="accent5"/>
      </w:tblBorders>
    </w:tblPr>
    <w:tcPr>
      <w:shd w:val="clear" w:color="auto" w:fill="FBCDCF" w:themeFill="accent5" w:themeFillTint="3F"/>
    </w:tcPr>
    <w:tblStylePr w:type="firstRow">
      <w:rPr>
        <w:b/>
        <w:bCs/>
        <w:color w:val="000000" w:themeColor="text1"/>
      </w:rPr>
      <w:tblPr/>
      <w:tcPr>
        <w:shd w:val="clear" w:color="auto" w:fill="FDEB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7D8" w:themeFill="accent5" w:themeFillTint="33"/>
      </w:tcPr>
    </w:tblStylePr>
    <w:tblStylePr w:type="band1Vert">
      <w:tblPr/>
      <w:tcPr>
        <w:shd w:val="clear" w:color="auto" w:fill="F79CA0" w:themeFill="accent5" w:themeFillTint="7F"/>
      </w:tcPr>
    </w:tblStylePr>
    <w:tblStylePr w:type="band1Horz">
      <w:tblPr/>
      <w:tcPr>
        <w:tcBorders>
          <w:insideH w:val="single" w:sz="6" w:space="0" w:color="EF3942" w:themeColor="accent5"/>
          <w:insideV w:val="single" w:sz="6" w:space="0" w:color="EF3942" w:themeColor="accent5"/>
        </w:tcBorders>
        <w:shd w:val="clear" w:color="auto" w:fill="F79C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70B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DB03" w:themeColor="accent6"/>
        <w:left w:val="single" w:sz="8" w:space="0" w:color="FDDB03" w:themeColor="accent6"/>
        <w:bottom w:val="single" w:sz="8" w:space="0" w:color="FDDB03" w:themeColor="accent6"/>
        <w:right w:val="single" w:sz="8" w:space="0" w:color="FDDB03" w:themeColor="accent6"/>
        <w:insideH w:val="single" w:sz="8" w:space="0" w:color="FDDB03" w:themeColor="accent6"/>
        <w:insideV w:val="single" w:sz="8" w:space="0" w:color="FDDB03" w:themeColor="accent6"/>
      </w:tblBorders>
    </w:tblPr>
    <w:tcPr>
      <w:shd w:val="clear" w:color="auto" w:fill="FEF5C0" w:themeFill="accent6" w:themeFillTint="3F"/>
    </w:tcPr>
    <w:tblStylePr w:type="firstRow">
      <w:rPr>
        <w:b/>
        <w:bCs/>
        <w:color w:val="000000" w:themeColor="text1"/>
      </w:rPr>
      <w:tblPr/>
      <w:tcPr>
        <w:shd w:val="clear" w:color="auto" w:fill="FEFB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7CC" w:themeFill="accent6" w:themeFillTint="33"/>
      </w:tcPr>
    </w:tblStylePr>
    <w:tblStylePr w:type="band1Vert">
      <w:tblPr/>
      <w:tcPr>
        <w:shd w:val="clear" w:color="auto" w:fill="FEEC81" w:themeFill="accent6" w:themeFillTint="7F"/>
      </w:tcPr>
    </w:tblStylePr>
    <w:tblStylePr w:type="band1Horz">
      <w:tblPr/>
      <w:tcPr>
        <w:tcBorders>
          <w:insideH w:val="single" w:sz="6" w:space="0" w:color="FDDB03" w:themeColor="accent6"/>
          <w:insideV w:val="single" w:sz="6" w:space="0" w:color="FDDB03" w:themeColor="accent6"/>
        </w:tcBorders>
        <w:shd w:val="clear" w:color="auto" w:fill="FEEC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70B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70B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B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B31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B31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B31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B31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8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88C" w:themeFill="accent1" w:themeFillTint="7F"/>
      </w:tcPr>
    </w:tblStylePr>
  </w:style>
  <w:style w:type="table" w:styleId="MediumGrid3-Accent2">
    <w:name w:val="Medium Grid 3 Accent 2"/>
    <w:basedOn w:val="TableNormal"/>
    <w:uiPriority w:val="69"/>
    <w:semiHidden/>
    <w:unhideWhenUsed/>
    <w:rsid w:val="00570B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C1E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0E8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0E8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0E8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0E8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82C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82C5" w:themeFill="accent2" w:themeFillTint="7F"/>
      </w:tcPr>
    </w:tblStylePr>
  </w:style>
  <w:style w:type="table" w:styleId="MediumGrid3-Accent3">
    <w:name w:val="Medium Grid 3 Accent 3"/>
    <w:basedOn w:val="TableNormal"/>
    <w:uiPriority w:val="69"/>
    <w:semiHidden/>
    <w:unhideWhenUsed/>
    <w:rsid w:val="00570B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F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3E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3E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3E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3E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E0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E0FF" w:themeFill="accent3" w:themeFillTint="7F"/>
      </w:tcPr>
    </w:tblStylePr>
  </w:style>
  <w:style w:type="table" w:styleId="MediumGrid3-Accent4">
    <w:name w:val="Medium Grid 3 Accent 4"/>
    <w:basedOn w:val="TableNormal"/>
    <w:uiPriority w:val="69"/>
    <w:semiHidden/>
    <w:unhideWhenUsed/>
    <w:rsid w:val="00570B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1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BC64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BC64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BC64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BC64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2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29F" w:themeFill="accent4" w:themeFillTint="7F"/>
      </w:tcPr>
    </w:tblStylePr>
  </w:style>
  <w:style w:type="table" w:styleId="MediumGrid3-Accent5">
    <w:name w:val="Medium Grid 3 Accent 5"/>
    <w:basedOn w:val="TableNormal"/>
    <w:uiPriority w:val="69"/>
    <w:semiHidden/>
    <w:unhideWhenUsed/>
    <w:rsid w:val="00570B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CD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39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39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39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39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9C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9CA0" w:themeFill="accent5" w:themeFillTint="7F"/>
      </w:tcPr>
    </w:tblStylePr>
  </w:style>
  <w:style w:type="table" w:styleId="MediumGrid3-Accent6">
    <w:name w:val="Medium Grid 3 Accent 6"/>
    <w:basedOn w:val="TableNormal"/>
    <w:uiPriority w:val="69"/>
    <w:semiHidden/>
    <w:unhideWhenUsed/>
    <w:rsid w:val="00570B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5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DB0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DB0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DB0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DB0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C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C81" w:themeFill="accent6" w:themeFillTint="7F"/>
      </w:tcPr>
    </w:tblStylePr>
  </w:style>
  <w:style w:type="table" w:styleId="MediumList1">
    <w:name w:val="Medium List 1"/>
    <w:basedOn w:val="TableNormal"/>
    <w:uiPriority w:val="65"/>
    <w:semiHidden/>
    <w:unhideWhenUsed/>
    <w:rsid w:val="00570B7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E75B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unhideWhenUsed/>
    <w:rsid w:val="00570B73"/>
    <w:pPr>
      <w:spacing w:after="0" w:line="240" w:lineRule="auto"/>
    </w:pPr>
    <w:rPr>
      <w:color w:val="000000" w:themeColor="text1"/>
    </w:rPr>
    <w:tblPr>
      <w:tblStyleRowBandSize w:val="1"/>
      <w:tblStyleColBandSize w:val="1"/>
      <w:tblBorders>
        <w:top w:val="single" w:sz="8" w:space="0" w:color="FCB319" w:themeColor="accent1"/>
        <w:bottom w:val="single" w:sz="8" w:space="0" w:color="FCB319" w:themeColor="accent1"/>
      </w:tblBorders>
    </w:tblPr>
    <w:tblStylePr w:type="firstRow">
      <w:rPr>
        <w:rFonts w:asciiTheme="majorHAnsi" w:eastAsiaTheme="majorEastAsia" w:hAnsiTheme="majorHAnsi" w:cstheme="majorBidi"/>
      </w:rPr>
      <w:tblPr/>
      <w:tcPr>
        <w:tcBorders>
          <w:top w:val="nil"/>
          <w:bottom w:val="single" w:sz="8" w:space="0" w:color="FCB319" w:themeColor="accent1"/>
        </w:tcBorders>
      </w:tcPr>
    </w:tblStylePr>
    <w:tblStylePr w:type="lastRow">
      <w:rPr>
        <w:b/>
        <w:bCs/>
        <w:color w:val="1E75BA" w:themeColor="text2"/>
      </w:rPr>
      <w:tblPr/>
      <w:tcPr>
        <w:tcBorders>
          <w:top w:val="single" w:sz="8" w:space="0" w:color="FCB319" w:themeColor="accent1"/>
          <w:bottom w:val="single" w:sz="8" w:space="0" w:color="FCB319" w:themeColor="accent1"/>
        </w:tcBorders>
      </w:tcPr>
    </w:tblStylePr>
    <w:tblStylePr w:type="firstCol">
      <w:rPr>
        <w:b/>
        <w:bCs/>
      </w:rPr>
    </w:tblStylePr>
    <w:tblStylePr w:type="lastCol">
      <w:rPr>
        <w:b/>
        <w:bCs/>
      </w:rPr>
      <w:tblPr/>
      <w:tcPr>
        <w:tcBorders>
          <w:top w:val="single" w:sz="8" w:space="0" w:color="FCB319" w:themeColor="accent1"/>
          <w:bottom w:val="single" w:sz="8" w:space="0" w:color="FCB319" w:themeColor="accent1"/>
        </w:tcBorders>
      </w:tcPr>
    </w:tblStylePr>
    <w:tblStylePr w:type="band1Vert">
      <w:tblPr/>
      <w:tcPr>
        <w:shd w:val="clear" w:color="auto" w:fill="FEEBC6" w:themeFill="accent1" w:themeFillTint="3F"/>
      </w:tcPr>
    </w:tblStylePr>
    <w:tblStylePr w:type="band1Horz">
      <w:tblPr/>
      <w:tcPr>
        <w:shd w:val="clear" w:color="auto" w:fill="FEEBC6" w:themeFill="accent1" w:themeFillTint="3F"/>
      </w:tcPr>
    </w:tblStylePr>
  </w:style>
  <w:style w:type="table" w:styleId="MediumList1-Accent2">
    <w:name w:val="Medium List 1 Accent 2"/>
    <w:basedOn w:val="TableNormal"/>
    <w:uiPriority w:val="65"/>
    <w:semiHidden/>
    <w:unhideWhenUsed/>
    <w:rsid w:val="00570B73"/>
    <w:pPr>
      <w:spacing w:after="0" w:line="240" w:lineRule="auto"/>
    </w:pPr>
    <w:rPr>
      <w:color w:val="000000" w:themeColor="text1"/>
    </w:rPr>
    <w:tblPr>
      <w:tblStyleRowBandSize w:val="1"/>
      <w:tblStyleColBandSize w:val="1"/>
      <w:tblBorders>
        <w:top w:val="single" w:sz="8" w:space="0" w:color="E70E8A" w:themeColor="accent2"/>
        <w:bottom w:val="single" w:sz="8" w:space="0" w:color="E70E8A" w:themeColor="accent2"/>
      </w:tblBorders>
    </w:tblPr>
    <w:tblStylePr w:type="firstRow">
      <w:rPr>
        <w:rFonts w:asciiTheme="majorHAnsi" w:eastAsiaTheme="majorEastAsia" w:hAnsiTheme="majorHAnsi" w:cstheme="majorBidi"/>
      </w:rPr>
      <w:tblPr/>
      <w:tcPr>
        <w:tcBorders>
          <w:top w:val="nil"/>
          <w:bottom w:val="single" w:sz="8" w:space="0" w:color="E70E8A" w:themeColor="accent2"/>
        </w:tcBorders>
      </w:tcPr>
    </w:tblStylePr>
    <w:tblStylePr w:type="lastRow">
      <w:rPr>
        <w:b/>
        <w:bCs/>
        <w:color w:val="1E75BA" w:themeColor="text2"/>
      </w:rPr>
      <w:tblPr/>
      <w:tcPr>
        <w:tcBorders>
          <w:top w:val="single" w:sz="8" w:space="0" w:color="E70E8A" w:themeColor="accent2"/>
          <w:bottom w:val="single" w:sz="8" w:space="0" w:color="E70E8A" w:themeColor="accent2"/>
        </w:tcBorders>
      </w:tcPr>
    </w:tblStylePr>
    <w:tblStylePr w:type="firstCol">
      <w:rPr>
        <w:b/>
        <w:bCs/>
      </w:rPr>
    </w:tblStylePr>
    <w:tblStylePr w:type="lastCol">
      <w:rPr>
        <w:b/>
        <w:bCs/>
      </w:rPr>
      <w:tblPr/>
      <w:tcPr>
        <w:tcBorders>
          <w:top w:val="single" w:sz="8" w:space="0" w:color="E70E8A" w:themeColor="accent2"/>
          <w:bottom w:val="single" w:sz="8" w:space="0" w:color="E70E8A" w:themeColor="accent2"/>
        </w:tcBorders>
      </w:tcPr>
    </w:tblStylePr>
    <w:tblStylePr w:type="band1Vert">
      <w:tblPr/>
      <w:tcPr>
        <w:shd w:val="clear" w:color="auto" w:fill="FBC1E2" w:themeFill="accent2" w:themeFillTint="3F"/>
      </w:tcPr>
    </w:tblStylePr>
    <w:tblStylePr w:type="band1Horz">
      <w:tblPr/>
      <w:tcPr>
        <w:shd w:val="clear" w:color="auto" w:fill="FBC1E2" w:themeFill="accent2" w:themeFillTint="3F"/>
      </w:tcPr>
    </w:tblStylePr>
  </w:style>
  <w:style w:type="table" w:styleId="MediumList1-Accent3">
    <w:name w:val="Medium List 1 Accent 3"/>
    <w:basedOn w:val="TableNormal"/>
    <w:uiPriority w:val="65"/>
    <w:semiHidden/>
    <w:unhideWhenUsed/>
    <w:rsid w:val="00570B73"/>
    <w:pPr>
      <w:spacing w:after="0" w:line="240" w:lineRule="auto"/>
    </w:pPr>
    <w:rPr>
      <w:color w:val="000000" w:themeColor="text1"/>
    </w:rPr>
    <w:tblPr>
      <w:tblStyleRowBandSize w:val="1"/>
      <w:tblStyleColBandSize w:val="1"/>
      <w:tblBorders>
        <w:top w:val="single" w:sz="8" w:space="0" w:color="00B3E4" w:themeColor="accent3"/>
        <w:bottom w:val="single" w:sz="8" w:space="0" w:color="00B3E4" w:themeColor="accent3"/>
      </w:tblBorders>
    </w:tblPr>
    <w:tblStylePr w:type="firstRow">
      <w:rPr>
        <w:rFonts w:asciiTheme="majorHAnsi" w:eastAsiaTheme="majorEastAsia" w:hAnsiTheme="majorHAnsi" w:cstheme="majorBidi"/>
      </w:rPr>
      <w:tblPr/>
      <w:tcPr>
        <w:tcBorders>
          <w:top w:val="nil"/>
          <w:bottom w:val="single" w:sz="8" w:space="0" w:color="00B3E4" w:themeColor="accent3"/>
        </w:tcBorders>
      </w:tcPr>
    </w:tblStylePr>
    <w:tblStylePr w:type="lastRow">
      <w:rPr>
        <w:b/>
        <w:bCs/>
        <w:color w:val="1E75BA" w:themeColor="text2"/>
      </w:rPr>
      <w:tblPr/>
      <w:tcPr>
        <w:tcBorders>
          <w:top w:val="single" w:sz="8" w:space="0" w:color="00B3E4" w:themeColor="accent3"/>
          <w:bottom w:val="single" w:sz="8" w:space="0" w:color="00B3E4" w:themeColor="accent3"/>
        </w:tcBorders>
      </w:tcPr>
    </w:tblStylePr>
    <w:tblStylePr w:type="firstCol">
      <w:rPr>
        <w:b/>
        <w:bCs/>
      </w:rPr>
    </w:tblStylePr>
    <w:tblStylePr w:type="lastCol">
      <w:rPr>
        <w:b/>
        <w:bCs/>
      </w:rPr>
      <w:tblPr/>
      <w:tcPr>
        <w:tcBorders>
          <w:top w:val="single" w:sz="8" w:space="0" w:color="00B3E4" w:themeColor="accent3"/>
          <w:bottom w:val="single" w:sz="8" w:space="0" w:color="00B3E4" w:themeColor="accent3"/>
        </w:tcBorders>
      </w:tcPr>
    </w:tblStylePr>
    <w:tblStylePr w:type="band1Vert">
      <w:tblPr/>
      <w:tcPr>
        <w:shd w:val="clear" w:color="auto" w:fill="B9EFFF" w:themeFill="accent3" w:themeFillTint="3F"/>
      </w:tcPr>
    </w:tblStylePr>
    <w:tblStylePr w:type="band1Horz">
      <w:tblPr/>
      <w:tcPr>
        <w:shd w:val="clear" w:color="auto" w:fill="B9EFFF" w:themeFill="accent3" w:themeFillTint="3F"/>
      </w:tcPr>
    </w:tblStylePr>
  </w:style>
  <w:style w:type="table" w:styleId="MediumList1-Accent4">
    <w:name w:val="Medium List 1 Accent 4"/>
    <w:basedOn w:val="TableNormal"/>
    <w:uiPriority w:val="65"/>
    <w:semiHidden/>
    <w:unhideWhenUsed/>
    <w:rsid w:val="00570B73"/>
    <w:pPr>
      <w:spacing w:after="0" w:line="240" w:lineRule="auto"/>
    </w:pPr>
    <w:rPr>
      <w:color w:val="000000" w:themeColor="text1"/>
    </w:rPr>
    <w:tblPr>
      <w:tblStyleRowBandSize w:val="1"/>
      <w:tblStyleColBandSize w:val="1"/>
      <w:tblBorders>
        <w:top w:val="single" w:sz="8" w:space="0" w:color="8BC640" w:themeColor="accent4"/>
        <w:bottom w:val="single" w:sz="8" w:space="0" w:color="8BC640" w:themeColor="accent4"/>
      </w:tblBorders>
    </w:tblPr>
    <w:tblStylePr w:type="firstRow">
      <w:rPr>
        <w:rFonts w:asciiTheme="majorHAnsi" w:eastAsiaTheme="majorEastAsia" w:hAnsiTheme="majorHAnsi" w:cstheme="majorBidi"/>
      </w:rPr>
      <w:tblPr/>
      <w:tcPr>
        <w:tcBorders>
          <w:top w:val="nil"/>
          <w:bottom w:val="single" w:sz="8" w:space="0" w:color="8BC640" w:themeColor="accent4"/>
        </w:tcBorders>
      </w:tcPr>
    </w:tblStylePr>
    <w:tblStylePr w:type="lastRow">
      <w:rPr>
        <w:b/>
        <w:bCs/>
        <w:color w:val="1E75BA" w:themeColor="text2"/>
      </w:rPr>
      <w:tblPr/>
      <w:tcPr>
        <w:tcBorders>
          <w:top w:val="single" w:sz="8" w:space="0" w:color="8BC640" w:themeColor="accent4"/>
          <w:bottom w:val="single" w:sz="8" w:space="0" w:color="8BC640" w:themeColor="accent4"/>
        </w:tcBorders>
      </w:tcPr>
    </w:tblStylePr>
    <w:tblStylePr w:type="firstCol">
      <w:rPr>
        <w:b/>
        <w:bCs/>
      </w:rPr>
    </w:tblStylePr>
    <w:tblStylePr w:type="lastCol">
      <w:rPr>
        <w:b/>
        <w:bCs/>
      </w:rPr>
      <w:tblPr/>
      <w:tcPr>
        <w:tcBorders>
          <w:top w:val="single" w:sz="8" w:space="0" w:color="8BC640" w:themeColor="accent4"/>
          <w:bottom w:val="single" w:sz="8" w:space="0" w:color="8BC640" w:themeColor="accent4"/>
        </w:tcBorders>
      </w:tcPr>
    </w:tblStylePr>
    <w:tblStylePr w:type="band1Vert">
      <w:tblPr/>
      <w:tcPr>
        <w:shd w:val="clear" w:color="auto" w:fill="E2F1CF" w:themeFill="accent4" w:themeFillTint="3F"/>
      </w:tcPr>
    </w:tblStylePr>
    <w:tblStylePr w:type="band1Horz">
      <w:tblPr/>
      <w:tcPr>
        <w:shd w:val="clear" w:color="auto" w:fill="E2F1CF" w:themeFill="accent4" w:themeFillTint="3F"/>
      </w:tcPr>
    </w:tblStylePr>
  </w:style>
  <w:style w:type="table" w:styleId="MediumList1-Accent5">
    <w:name w:val="Medium List 1 Accent 5"/>
    <w:basedOn w:val="TableNormal"/>
    <w:uiPriority w:val="65"/>
    <w:semiHidden/>
    <w:unhideWhenUsed/>
    <w:rsid w:val="00570B73"/>
    <w:pPr>
      <w:spacing w:after="0" w:line="240" w:lineRule="auto"/>
    </w:pPr>
    <w:rPr>
      <w:color w:val="000000" w:themeColor="text1"/>
    </w:rPr>
    <w:tblPr>
      <w:tblStyleRowBandSize w:val="1"/>
      <w:tblStyleColBandSize w:val="1"/>
      <w:tblBorders>
        <w:top w:val="single" w:sz="8" w:space="0" w:color="EF3942" w:themeColor="accent5"/>
        <w:bottom w:val="single" w:sz="8" w:space="0" w:color="EF3942" w:themeColor="accent5"/>
      </w:tblBorders>
    </w:tblPr>
    <w:tblStylePr w:type="firstRow">
      <w:rPr>
        <w:rFonts w:asciiTheme="majorHAnsi" w:eastAsiaTheme="majorEastAsia" w:hAnsiTheme="majorHAnsi" w:cstheme="majorBidi"/>
      </w:rPr>
      <w:tblPr/>
      <w:tcPr>
        <w:tcBorders>
          <w:top w:val="nil"/>
          <w:bottom w:val="single" w:sz="8" w:space="0" w:color="EF3942" w:themeColor="accent5"/>
        </w:tcBorders>
      </w:tcPr>
    </w:tblStylePr>
    <w:tblStylePr w:type="lastRow">
      <w:rPr>
        <w:b/>
        <w:bCs/>
        <w:color w:val="1E75BA" w:themeColor="text2"/>
      </w:rPr>
      <w:tblPr/>
      <w:tcPr>
        <w:tcBorders>
          <w:top w:val="single" w:sz="8" w:space="0" w:color="EF3942" w:themeColor="accent5"/>
          <w:bottom w:val="single" w:sz="8" w:space="0" w:color="EF3942" w:themeColor="accent5"/>
        </w:tcBorders>
      </w:tcPr>
    </w:tblStylePr>
    <w:tblStylePr w:type="firstCol">
      <w:rPr>
        <w:b/>
        <w:bCs/>
      </w:rPr>
    </w:tblStylePr>
    <w:tblStylePr w:type="lastCol">
      <w:rPr>
        <w:b/>
        <w:bCs/>
      </w:rPr>
      <w:tblPr/>
      <w:tcPr>
        <w:tcBorders>
          <w:top w:val="single" w:sz="8" w:space="0" w:color="EF3942" w:themeColor="accent5"/>
          <w:bottom w:val="single" w:sz="8" w:space="0" w:color="EF3942" w:themeColor="accent5"/>
        </w:tcBorders>
      </w:tcPr>
    </w:tblStylePr>
    <w:tblStylePr w:type="band1Vert">
      <w:tblPr/>
      <w:tcPr>
        <w:shd w:val="clear" w:color="auto" w:fill="FBCDCF" w:themeFill="accent5" w:themeFillTint="3F"/>
      </w:tcPr>
    </w:tblStylePr>
    <w:tblStylePr w:type="band1Horz">
      <w:tblPr/>
      <w:tcPr>
        <w:shd w:val="clear" w:color="auto" w:fill="FBCDCF" w:themeFill="accent5" w:themeFillTint="3F"/>
      </w:tcPr>
    </w:tblStylePr>
  </w:style>
  <w:style w:type="table" w:styleId="MediumList1-Accent6">
    <w:name w:val="Medium List 1 Accent 6"/>
    <w:basedOn w:val="TableNormal"/>
    <w:uiPriority w:val="65"/>
    <w:semiHidden/>
    <w:unhideWhenUsed/>
    <w:rsid w:val="00570B73"/>
    <w:pPr>
      <w:spacing w:after="0" w:line="240" w:lineRule="auto"/>
    </w:pPr>
    <w:rPr>
      <w:color w:val="000000" w:themeColor="text1"/>
    </w:rPr>
    <w:tblPr>
      <w:tblStyleRowBandSize w:val="1"/>
      <w:tblStyleColBandSize w:val="1"/>
      <w:tblBorders>
        <w:top w:val="single" w:sz="8" w:space="0" w:color="FDDB03" w:themeColor="accent6"/>
        <w:bottom w:val="single" w:sz="8" w:space="0" w:color="FDDB03" w:themeColor="accent6"/>
      </w:tblBorders>
    </w:tblPr>
    <w:tblStylePr w:type="firstRow">
      <w:rPr>
        <w:rFonts w:asciiTheme="majorHAnsi" w:eastAsiaTheme="majorEastAsia" w:hAnsiTheme="majorHAnsi" w:cstheme="majorBidi"/>
      </w:rPr>
      <w:tblPr/>
      <w:tcPr>
        <w:tcBorders>
          <w:top w:val="nil"/>
          <w:bottom w:val="single" w:sz="8" w:space="0" w:color="FDDB03" w:themeColor="accent6"/>
        </w:tcBorders>
      </w:tcPr>
    </w:tblStylePr>
    <w:tblStylePr w:type="lastRow">
      <w:rPr>
        <w:b/>
        <w:bCs/>
        <w:color w:val="1E75BA" w:themeColor="text2"/>
      </w:rPr>
      <w:tblPr/>
      <w:tcPr>
        <w:tcBorders>
          <w:top w:val="single" w:sz="8" w:space="0" w:color="FDDB03" w:themeColor="accent6"/>
          <w:bottom w:val="single" w:sz="8" w:space="0" w:color="FDDB03" w:themeColor="accent6"/>
        </w:tcBorders>
      </w:tcPr>
    </w:tblStylePr>
    <w:tblStylePr w:type="firstCol">
      <w:rPr>
        <w:b/>
        <w:bCs/>
      </w:rPr>
    </w:tblStylePr>
    <w:tblStylePr w:type="lastCol">
      <w:rPr>
        <w:b/>
        <w:bCs/>
      </w:rPr>
      <w:tblPr/>
      <w:tcPr>
        <w:tcBorders>
          <w:top w:val="single" w:sz="8" w:space="0" w:color="FDDB03" w:themeColor="accent6"/>
          <w:bottom w:val="single" w:sz="8" w:space="0" w:color="FDDB03" w:themeColor="accent6"/>
        </w:tcBorders>
      </w:tcPr>
    </w:tblStylePr>
    <w:tblStylePr w:type="band1Vert">
      <w:tblPr/>
      <w:tcPr>
        <w:shd w:val="clear" w:color="auto" w:fill="FEF5C0" w:themeFill="accent6" w:themeFillTint="3F"/>
      </w:tcPr>
    </w:tblStylePr>
    <w:tblStylePr w:type="band1Horz">
      <w:tblPr/>
      <w:tcPr>
        <w:shd w:val="clear" w:color="auto" w:fill="FEF5C0" w:themeFill="accent6" w:themeFillTint="3F"/>
      </w:tcPr>
    </w:tblStylePr>
  </w:style>
  <w:style w:type="table" w:styleId="MediumList2">
    <w:name w:val="Medium List 2"/>
    <w:basedOn w:val="TableNormal"/>
    <w:uiPriority w:val="66"/>
    <w:semiHidden/>
    <w:unhideWhenUsed/>
    <w:rsid w:val="00570B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70B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B319" w:themeColor="accent1"/>
        <w:left w:val="single" w:sz="8" w:space="0" w:color="FCB319" w:themeColor="accent1"/>
        <w:bottom w:val="single" w:sz="8" w:space="0" w:color="FCB319" w:themeColor="accent1"/>
        <w:right w:val="single" w:sz="8" w:space="0" w:color="FCB319" w:themeColor="accent1"/>
      </w:tblBorders>
    </w:tblPr>
    <w:tblStylePr w:type="firstRow">
      <w:rPr>
        <w:sz w:val="24"/>
        <w:szCs w:val="24"/>
      </w:rPr>
      <w:tblPr/>
      <w:tcPr>
        <w:tcBorders>
          <w:top w:val="nil"/>
          <w:left w:val="nil"/>
          <w:bottom w:val="single" w:sz="24" w:space="0" w:color="FCB31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B319" w:themeColor="accent1"/>
          <w:insideH w:val="nil"/>
          <w:insideV w:val="nil"/>
        </w:tcBorders>
        <w:shd w:val="clear" w:color="auto" w:fill="FFFFFF" w:themeFill="background1"/>
      </w:tcPr>
    </w:tblStylePr>
    <w:tblStylePr w:type="lastCol">
      <w:tblPr/>
      <w:tcPr>
        <w:tcBorders>
          <w:top w:val="nil"/>
          <w:left w:val="single" w:sz="8" w:space="0" w:color="FCB31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BC6" w:themeFill="accent1" w:themeFillTint="3F"/>
      </w:tcPr>
    </w:tblStylePr>
    <w:tblStylePr w:type="band1Horz">
      <w:tblPr/>
      <w:tcPr>
        <w:tcBorders>
          <w:top w:val="nil"/>
          <w:bottom w:val="nil"/>
          <w:insideH w:val="nil"/>
          <w:insideV w:val="nil"/>
        </w:tcBorders>
        <w:shd w:val="clear" w:color="auto" w:fill="FEEB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70B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70E8A" w:themeColor="accent2"/>
        <w:left w:val="single" w:sz="8" w:space="0" w:color="E70E8A" w:themeColor="accent2"/>
        <w:bottom w:val="single" w:sz="8" w:space="0" w:color="E70E8A" w:themeColor="accent2"/>
        <w:right w:val="single" w:sz="8" w:space="0" w:color="E70E8A" w:themeColor="accent2"/>
      </w:tblBorders>
    </w:tblPr>
    <w:tblStylePr w:type="firstRow">
      <w:rPr>
        <w:sz w:val="24"/>
        <w:szCs w:val="24"/>
      </w:rPr>
      <w:tblPr/>
      <w:tcPr>
        <w:tcBorders>
          <w:top w:val="nil"/>
          <w:left w:val="nil"/>
          <w:bottom w:val="single" w:sz="24" w:space="0" w:color="E70E8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0E8A" w:themeColor="accent2"/>
          <w:insideH w:val="nil"/>
          <w:insideV w:val="nil"/>
        </w:tcBorders>
        <w:shd w:val="clear" w:color="auto" w:fill="FFFFFF" w:themeFill="background1"/>
      </w:tcPr>
    </w:tblStylePr>
    <w:tblStylePr w:type="lastCol">
      <w:tblPr/>
      <w:tcPr>
        <w:tcBorders>
          <w:top w:val="nil"/>
          <w:left w:val="single" w:sz="8" w:space="0" w:color="E70E8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C1E2" w:themeFill="accent2" w:themeFillTint="3F"/>
      </w:tcPr>
    </w:tblStylePr>
    <w:tblStylePr w:type="band1Horz">
      <w:tblPr/>
      <w:tcPr>
        <w:tcBorders>
          <w:top w:val="nil"/>
          <w:bottom w:val="nil"/>
          <w:insideH w:val="nil"/>
          <w:insideV w:val="nil"/>
        </w:tcBorders>
        <w:shd w:val="clear" w:color="auto" w:fill="FBC1E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70B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3E4" w:themeColor="accent3"/>
        <w:left w:val="single" w:sz="8" w:space="0" w:color="00B3E4" w:themeColor="accent3"/>
        <w:bottom w:val="single" w:sz="8" w:space="0" w:color="00B3E4" w:themeColor="accent3"/>
        <w:right w:val="single" w:sz="8" w:space="0" w:color="00B3E4" w:themeColor="accent3"/>
      </w:tblBorders>
    </w:tblPr>
    <w:tblStylePr w:type="firstRow">
      <w:rPr>
        <w:sz w:val="24"/>
        <w:szCs w:val="24"/>
      </w:rPr>
      <w:tblPr/>
      <w:tcPr>
        <w:tcBorders>
          <w:top w:val="nil"/>
          <w:left w:val="nil"/>
          <w:bottom w:val="single" w:sz="24" w:space="0" w:color="00B3E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3E4" w:themeColor="accent3"/>
          <w:insideH w:val="nil"/>
          <w:insideV w:val="nil"/>
        </w:tcBorders>
        <w:shd w:val="clear" w:color="auto" w:fill="FFFFFF" w:themeFill="background1"/>
      </w:tcPr>
    </w:tblStylePr>
    <w:tblStylePr w:type="lastCol">
      <w:tblPr/>
      <w:tcPr>
        <w:tcBorders>
          <w:top w:val="nil"/>
          <w:left w:val="single" w:sz="8" w:space="0" w:color="00B3E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FFF" w:themeFill="accent3" w:themeFillTint="3F"/>
      </w:tcPr>
    </w:tblStylePr>
    <w:tblStylePr w:type="band1Horz">
      <w:tblPr/>
      <w:tcPr>
        <w:tcBorders>
          <w:top w:val="nil"/>
          <w:bottom w:val="nil"/>
          <w:insideH w:val="nil"/>
          <w:insideV w:val="nil"/>
        </w:tcBorders>
        <w:shd w:val="clear" w:color="auto" w:fill="B9EF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70B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BC640" w:themeColor="accent4"/>
        <w:left w:val="single" w:sz="8" w:space="0" w:color="8BC640" w:themeColor="accent4"/>
        <w:bottom w:val="single" w:sz="8" w:space="0" w:color="8BC640" w:themeColor="accent4"/>
        <w:right w:val="single" w:sz="8" w:space="0" w:color="8BC640" w:themeColor="accent4"/>
      </w:tblBorders>
    </w:tblPr>
    <w:tblStylePr w:type="firstRow">
      <w:rPr>
        <w:sz w:val="24"/>
        <w:szCs w:val="24"/>
      </w:rPr>
      <w:tblPr/>
      <w:tcPr>
        <w:tcBorders>
          <w:top w:val="nil"/>
          <w:left w:val="nil"/>
          <w:bottom w:val="single" w:sz="24" w:space="0" w:color="8BC64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BC640" w:themeColor="accent4"/>
          <w:insideH w:val="nil"/>
          <w:insideV w:val="nil"/>
        </w:tcBorders>
        <w:shd w:val="clear" w:color="auto" w:fill="FFFFFF" w:themeFill="background1"/>
      </w:tcPr>
    </w:tblStylePr>
    <w:tblStylePr w:type="lastCol">
      <w:tblPr/>
      <w:tcPr>
        <w:tcBorders>
          <w:top w:val="nil"/>
          <w:left w:val="single" w:sz="8" w:space="0" w:color="8BC64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top w:val="nil"/>
          <w:bottom w:val="nil"/>
          <w:insideH w:val="nil"/>
          <w:insideV w:val="nil"/>
        </w:tcBorders>
        <w:shd w:val="clear" w:color="auto" w:fill="E2F1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70B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F3942" w:themeColor="accent5"/>
        <w:left w:val="single" w:sz="8" w:space="0" w:color="EF3942" w:themeColor="accent5"/>
        <w:bottom w:val="single" w:sz="8" w:space="0" w:color="EF3942" w:themeColor="accent5"/>
        <w:right w:val="single" w:sz="8" w:space="0" w:color="EF3942" w:themeColor="accent5"/>
      </w:tblBorders>
    </w:tblPr>
    <w:tblStylePr w:type="firstRow">
      <w:rPr>
        <w:sz w:val="24"/>
        <w:szCs w:val="24"/>
      </w:rPr>
      <w:tblPr/>
      <w:tcPr>
        <w:tcBorders>
          <w:top w:val="nil"/>
          <w:left w:val="nil"/>
          <w:bottom w:val="single" w:sz="24" w:space="0" w:color="EF39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3942" w:themeColor="accent5"/>
          <w:insideH w:val="nil"/>
          <w:insideV w:val="nil"/>
        </w:tcBorders>
        <w:shd w:val="clear" w:color="auto" w:fill="FFFFFF" w:themeFill="background1"/>
      </w:tcPr>
    </w:tblStylePr>
    <w:tblStylePr w:type="lastCol">
      <w:tblPr/>
      <w:tcPr>
        <w:tcBorders>
          <w:top w:val="nil"/>
          <w:left w:val="single" w:sz="8" w:space="0" w:color="EF39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CDCF" w:themeFill="accent5" w:themeFillTint="3F"/>
      </w:tcPr>
    </w:tblStylePr>
    <w:tblStylePr w:type="band1Horz">
      <w:tblPr/>
      <w:tcPr>
        <w:tcBorders>
          <w:top w:val="nil"/>
          <w:bottom w:val="nil"/>
          <w:insideH w:val="nil"/>
          <w:insideV w:val="nil"/>
        </w:tcBorders>
        <w:shd w:val="clear" w:color="auto" w:fill="FBCD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70B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DB03" w:themeColor="accent6"/>
        <w:left w:val="single" w:sz="8" w:space="0" w:color="FDDB03" w:themeColor="accent6"/>
        <w:bottom w:val="single" w:sz="8" w:space="0" w:color="FDDB03" w:themeColor="accent6"/>
        <w:right w:val="single" w:sz="8" w:space="0" w:color="FDDB03" w:themeColor="accent6"/>
      </w:tblBorders>
    </w:tblPr>
    <w:tblStylePr w:type="firstRow">
      <w:rPr>
        <w:sz w:val="24"/>
        <w:szCs w:val="24"/>
      </w:rPr>
      <w:tblPr/>
      <w:tcPr>
        <w:tcBorders>
          <w:top w:val="nil"/>
          <w:left w:val="nil"/>
          <w:bottom w:val="single" w:sz="24" w:space="0" w:color="FDDB0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DB03" w:themeColor="accent6"/>
          <w:insideH w:val="nil"/>
          <w:insideV w:val="nil"/>
        </w:tcBorders>
        <w:shd w:val="clear" w:color="auto" w:fill="FFFFFF" w:themeFill="background1"/>
      </w:tcPr>
    </w:tblStylePr>
    <w:tblStylePr w:type="lastCol">
      <w:tblPr/>
      <w:tcPr>
        <w:tcBorders>
          <w:top w:val="nil"/>
          <w:left w:val="single" w:sz="8" w:space="0" w:color="FDDB0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5C0" w:themeFill="accent6" w:themeFillTint="3F"/>
      </w:tcPr>
    </w:tblStylePr>
    <w:tblStylePr w:type="band1Horz">
      <w:tblPr/>
      <w:tcPr>
        <w:tcBorders>
          <w:top w:val="nil"/>
          <w:bottom w:val="nil"/>
          <w:insideH w:val="nil"/>
          <w:insideV w:val="nil"/>
        </w:tcBorders>
        <w:shd w:val="clear" w:color="auto" w:fill="FEF5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70B7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70B73"/>
    <w:pPr>
      <w:spacing w:after="0" w:line="240" w:lineRule="auto"/>
    </w:pPr>
    <w:tblPr>
      <w:tblStyleRowBandSize w:val="1"/>
      <w:tblStyleColBandSize w:val="1"/>
      <w:tblBorders>
        <w:top w:val="single" w:sz="8" w:space="0" w:color="FCC552" w:themeColor="accent1" w:themeTint="BF"/>
        <w:left w:val="single" w:sz="8" w:space="0" w:color="FCC552" w:themeColor="accent1" w:themeTint="BF"/>
        <w:bottom w:val="single" w:sz="8" w:space="0" w:color="FCC552" w:themeColor="accent1" w:themeTint="BF"/>
        <w:right w:val="single" w:sz="8" w:space="0" w:color="FCC552" w:themeColor="accent1" w:themeTint="BF"/>
        <w:insideH w:val="single" w:sz="8" w:space="0" w:color="FCC552" w:themeColor="accent1" w:themeTint="BF"/>
      </w:tblBorders>
    </w:tblPr>
    <w:tblStylePr w:type="firstRow">
      <w:pPr>
        <w:spacing w:before="0" w:after="0" w:line="240" w:lineRule="auto"/>
      </w:pPr>
      <w:rPr>
        <w:b/>
        <w:bCs/>
        <w:color w:val="FFFFFF" w:themeColor="background1"/>
      </w:rPr>
      <w:tblPr/>
      <w:tcPr>
        <w:tcBorders>
          <w:top w:val="single" w:sz="8" w:space="0" w:color="FCC552" w:themeColor="accent1" w:themeTint="BF"/>
          <w:left w:val="single" w:sz="8" w:space="0" w:color="FCC552" w:themeColor="accent1" w:themeTint="BF"/>
          <w:bottom w:val="single" w:sz="8" w:space="0" w:color="FCC552" w:themeColor="accent1" w:themeTint="BF"/>
          <w:right w:val="single" w:sz="8" w:space="0" w:color="FCC552" w:themeColor="accent1" w:themeTint="BF"/>
          <w:insideH w:val="nil"/>
          <w:insideV w:val="nil"/>
        </w:tcBorders>
        <w:shd w:val="clear" w:color="auto" w:fill="FCB319" w:themeFill="accent1"/>
      </w:tcPr>
    </w:tblStylePr>
    <w:tblStylePr w:type="lastRow">
      <w:pPr>
        <w:spacing w:before="0" w:after="0" w:line="240" w:lineRule="auto"/>
      </w:pPr>
      <w:rPr>
        <w:b/>
        <w:bCs/>
      </w:rPr>
      <w:tblPr/>
      <w:tcPr>
        <w:tcBorders>
          <w:top w:val="double" w:sz="6" w:space="0" w:color="FCC552" w:themeColor="accent1" w:themeTint="BF"/>
          <w:left w:val="single" w:sz="8" w:space="0" w:color="FCC552" w:themeColor="accent1" w:themeTint="BF"/>
          <w:bottom w:val="single" w:sz="8" w:space="0" w:color="FCC552" w:themeColor="accent1" w:themeTint="BF"/>
          <w:right w:val="single" w:sz="8" w:space="0" w:color="FCC5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EBC6" w:themeFill="accent1" w:themeFillTint="3F"/>
      </w:tcPr>
    </w:tblStylePr>
    <w:tblStylePr w:type="band1Horz">
      <w:tblPr/>
      <w:tcPr>
        <w:tcBorders>
          <w:insideH w:val="nil"/>
          <w:insideV w:val="nil"/>
        </w:tcBorders>
        <w:shd w:val="clear" w:color="auto" w:fill="FEEB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70B73"/>
    <w:pPr>
      <w:spacing w:after="0" w:line="240" w:lineRule="auto"/>
    </w:pPr>
    <w:tblPr>
      <w:tblStyleRowBandSize w:val="1"/>
      <w:tblStyleColBandSize w:val="1"/>
      <w:tblBorders>
        <w:top w:val="single" w:sz="8" w:space="0" w:color="F343A7" w:themeColor="accent2" w:themeTint="BF"/>
        <w:left w:val="single" w:sz="8" w:space="0" w:color="F343A7" w:themeColor="accent2" w:themeTint="BF"/>
        <w:bottom w:val="single" w:sz="8" w:space="0" w:color="F343A7" w:themeColor="accent2" w:themeTint="BF"/>
        <w:right w:val="single" w:sz="8" w:space="0" w:color="F343A7" w:themeColor="accent2" w:themeTint="BF"/>
        <w:insideH w:val="single" w:sz="8" w:space="0" w:color="F343A7" w:themeColor="accent2" w:themeTint="BF"/>
      </w:tblBorders>
    </w:tblPr>
    <w:tblStylePr w:type="firstRow">
      <w:pPr>
        <w:spacing w:before="0" w:after="0" w:line="240" w:lineRule="auto"/>
      </w:pPr>
      <w:rPr>
        <w:b/>
        <w:bCs/>
        <w:color w:val="FFFFFF" w:themeColor="background1"/>
      </w:rPr>
      <w:tblPr/>
      <w:tcPr>
        <w:tcBorders>
          <w:top w:val="single" w:sz="8" w:space="0" w:color="F343A7" w:themeColor="accent2" w:themeTint="BF"/>
          <w:left w:val="single" w:sz="8" w:space="0" w:color="F343A7" w:themeColor="accent2" w:themeTint="BF"/>
          <w:bottom w:val="single" w:sz="8" w:space="0" w:color="F343A7" w:themeColor="accent2" w:themeTint="BF"/>
          <w:right w:val="single" w:sz="8" w:space="0" w:color="F343A7" w:themeColor="accent2" w:themeTint="BF"/>
          <w:insideH w:val="nil"/>
          <w:insideV w:val="nil"/>
        </w:tcBorders>
        <w:shd w:val="clear" w:color="auto" w:fill="E70E8A" w:themeFill="accent2"/>
      </w:tcPr>
    </w:tblStylePr>
    <w:tblStylePr w:type="lastRow">
      <w:pPr>
        <w:spacing w:before="0" w:after="0" w:line="240" w:lineRule="auto"/>
      </w:pPr>
      <w:rPr>
        <w:b/>
        <w:bCs/>
      </w:rPr>
      <w:tblPr/>
      <w:tcPr>
        <w:tcBorders>
          <w:top w:val="double" w:sz="6" w:space="0" w:color="F343A7" w:themeColor="accent2" w:themeTint="BF"/>
          <w:left w:val="single" w:sz="8" w:space="0" w:color="F343A7" w:themeColor="accent2" w:themeTint="BF"/>
          <w:bottom w:val="single" w:sz="8" w:space="0" w:color="F343A7" w:themeColor="accent2" w:themeTint="BF"/>
          <w:right w:val="single" w:sz="8" w:space="0" w:color="F343A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C1E2" w:themeFill="accent2" w:themeFillTint="3F"/>
      </w:tcPr>
    </w:tblStylePr>
    <w:tblStylePr w:type="band1Horz">
      <w:tblPr/>
      <w:tcPr>
        <w:tcBorders>
          <w:insideH w:val="nil"/>
          <w:insideV w:val="nil"/>
        </w:tcBorders>
        <w:shd w:val="clear" w:color="auto" w:fill="FBC1E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70B73"/>
    <w:pPr>
      <w:spacing w:after="0" w:line="240" w:lineRule="auto"/>
    </w:pPr>
    <w:tblPr>
      <w:tblStyleRowBandSize w:val="1"/>
      <w:tblStyleColBandSize w:val="1"/>
      <w:tblBorders>
        <w:top w:val="single" w:sz="8" w:space="0" w:color="2BD1FF" w:themeColor="accent3" w:themeTint="BF"/>
        <w:left w:val="single" w:sz="8" w:space="0" w:color="2BD1FF" w:themeColor="accent3" w:themeTint="BF"/>
        <w:bottom w:val="single" w:sz="8" w:space="0" w:color="2BD1FF" w:themeColor="accent3" w:themeTint="BF"/>
        <w:right w:val="single" w:sz="8" w:space="0" w:color="2BD1FF" w:themeColor="accent3" w:themeTint="BF"/>
        <w:insideH w:val="single" w:sz="8" w:space="0" w:color="2BD1FF" w:themeColor="accent3" w:themeTint="BF"/>
      </w:tblBorders>
    </w:tblPr>
    <w:tblStylePr w:type="firstRow">
      <w:pPr>
        <w:spacing w:before="0" w:after="0" w:line="240" w:lineRule="auto"/>
      </w:pPr>
      <w:rPr>
        <w:b/>
        <w:bCs/>
        <w:color w:val="FFFFFF" w:themeColor="background1"/>
      </w:rPr>
      <w:tblPr/>
      <w:tcPr>
        <w:tcBorders>
          <w:top w:val="single" w:sz="8" w:space="0" w:color="2BD1FF" w:themeColor="accent3" w:themeTint="BF"/>
          <w:left w:val="single" w:sz="8" w:space="0" w:color="2BD1FF" w:themeColor="accent3" w:themeTint="BF"/>
          <w:bottom w:val="single" w:sz="8" w:space="0" w:color="2BD1FF" w:themeColor="accent3" w:themeTint="BF"/>
          <w:right w:val="single" w:sz="8" w:space="0" w:color="2BD1FF" w:themeColor="accent3" w:themeTint="BF"/>
          <w:insideH w:val="nil"/>
          <w:insideV w:val="nil"/>
        </w:tcBorders>
        <w:shd w:val="clear" w:color="auto" w:fill="00B3E4" w:themeFill="accent3"/>
      </w:tcPr>
    </w:tblStylePr>
    <w:tblStylePr w:type="lastRow">
      <w:pPr>
        <w:spacing w:before="0" w:after="0" w:line="240" w:lineRule="auto"/>
      </w:pPr>
      <w:rPr>
        <w:b/>
        <w:bCs/>
      </w:rPr>
      <w:tblPr/>
      <w:tcPr>
        <w:tcBorders>
          <w:top w:val="double" w:sz="6" w:space="0" w:color="2BD1FF" w:themeColor="accent3" w:themeTint="BF"/>
          <w:left w:val="single" w:sz="8" w:space="0" w:color="2BD1FF" w:themeColor="accent3" w:themeTint="BF"/>
          <w:bottom w:val="single" w:sz="8" w:space="0" w:color="2BD1FF" w:themeColor="accent3" w:themeTint="BF"/>
          <w:right w:val="single" w:sz="8" w:space="0" w:color="2BD1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9EFFF" w:themeFill="accent3" w:themeFillTint="3F"/>
      </w:tcPr>
    </w:tblStylePr>
    <w:tblStylePr w:type="band1Horz">
      <w:tblPr/>
      <w:tcPr>
        <w:tcBorders>
          <w:insideH w:val="nil"/>
          <w:insideV w:val="nil"/>
        </w:tcBorders>
        <w:shd w:val="clear" w:color="auto" w:fill="B9EF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70B73"/>
    <w:pPr>
      <w:spacing w:after="0" w:line="240" w:lineRule="auto"/>
    </w:pPr>
    <w:tblPr>
      <w:tblStyleRowBandSize w:val="1"/>
      <w:tblStyleColBandSize w:val="1"/>
      <w:tblBorders>
        <w:top w:val="single" w:sz="8" w:space="0" w:color="A7D46F" w:themeColor="accent4" w:themeTint="BF"/>
        <w:left w:val="single" w:sz="8" w:space="0" w:color="A7D46F" w:themeColor="accent4" w:themeTint="BF"/>
        <w:bottom w:val="single" w:sz="8" w:space="0" w:color="A7D46F" w:themeColor="accent4" w:themeTint="BF"/>
        <w:right w:val="single" w:sz="8" w:space="0" w:color="A7D46F" w:themeColor="accent4" w:themeTint="BF"/>
        <w:insideH w:val="single" w:sz="8" w:space="0" w:color="A7D46F" w:themeColor="accent4" w:themeTint="BF"/>
      </w:tblBorders>
    </w:tblPr>
    <w:tblStylePr w:type="firstRow">
      <w:pPr>
        <w:spacing w:before="0" w:after="0" w:line="240" w:lineRule="auto"/>
      </w:pPr>
      <w:rPr>
        <w:b/>
        <w:bCs/>
        <w:color w:val="FFFFFF" w:themeColor="background1"/>
      </w:rPr>
      <w:tblPr/>
      <w:tcPr>
        <w:tcBorders>
          <w:top w:val="single" w:sz="8" w:space="0" w:color="A7D46F" w:themeColor="accent4" w:themeTint="BF"/>
          <w:left w:val="single" w:sz="8" w:space="0" w:color="A7D46F" w:themeColor="accent4" w:themeTint="BF"/>
          <w:bottom w:val="single" w:sz="8" w:space="0" w:color="A7D46F" w:themeColor="accent4" w:themeTint="BF"/>
          <w:right w:val="single" w:sz="8" w:space="0" w:color="A7D46F" w:themeColor="accent4" w:themeTint="BF"/>
          <w:insideH w:val="nil"/>
          <w:insideV w:val="nil"/>
        </w:tcBorders>
        <w:shd w:val="clear" w:color="auto" w:fill="8BC640" w:themeFill="accent4"/>
      </w:tcPr>
    </w:tblStylePr>
    <w:tblStylePr w:type="lastRow">
      <w:pPr>
        <w:spacing w:before="0" w:after="0" w:line="240" w:lineRule="auto"/>
      </w:pPr>
      <w:rPr>
        <w:b/>
        <w:bCs/>
      </w:rPr>
      <w:tblPr/>
      <w:tcPr>
        <w:tcBorders>
          <w:top w:val="double" w:sz="6" w:space="0" w:color="A7D46F" w:themeColor="accent4" w:themeTint="BF"/>
          <w:left w:val="single" w:sz="8" w:space="0" w:color="A7D46F" w:themeColor="accent4" w:themeTint="BF"/>
          <w:bottom w:val="single" w:sz="8" w:space="0" w:color="A7D46F" w:themeColor="accent4" w:themeTint="BF"/>
          <w:right w:val="single" w:sz="8" w:space="0" w:color="A7D46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F1CF" w:themeFill="accent4" w:themeFillTint="3F"/>
      </w:tcPr>
    </w:tblStylePr>
    <w:tblStylePr w:type="band1Horz">
      <w:tblPr/>
      <w:tcPr>
        <w:tcBorders>
          <w:insideH w:val="nil"/>
          <w:insideV w:val="nil"/>
        </w:tcBorders>
        <w:shd w:val="clear" w:color="auto" w:fill="E2F1C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70B73"/>
    <w:pPr>
      <w:spacing w:after="0" w:line="240" w:lineRule="auto"/>
    </w:pPr>
    <w:tblPr>
      <w:tblStyleRowBandSize w:val="1"/>
      <w:tblStyleColBandSize w:val="1"/>
      <w:tblBorders>
        <w:top w:val="single" w:sz="8" w:space="0" w:color="F36A70" w:themeColor="accent5" w:themeTint="BF"/>
        <w:left w:val="single" w:sz="8" w:space="0" w:color="F36A70" w:themeColor="accent5" w:themeTint="BF"/>
        <w:bottom w:val="single" w:sz="8" w:space="0" w:color="F36A70" w:themeColor="accent5" w:themeTint="BF"/>
        <w:right w:val="single" w:sz="8" w:space="0" w:color="F36A70" w:themeColor="accent5" w:themeTint="BF"/>
        <w:insideH w:val="single" w:sz="8" w:space="0" w:color="F36A70" w:themeColor="accent5" w:themeTint="BF"/>
      </w:tblBorders>
    </w:tblPr>
    <w:tblStylePr w:type="firstRow">
      <w:pPr>
        <w:spacing w:before="0" w:after="0" w:line="240" w:lineRule="auto"/>
      </w:pPr>
      <w:rPr>
        <w:b/>
        <w:bCs/>
        <w:color w:val="FFFFFF" w:themeColor="background1"/>
      </w:rPr>
      <w:tblPr/>
      <w:tcPr>
        <w:tcBorders>
          <w:top w:val="single" w:sz="8" w:space="0" w:color="F36A70" w:themeColor="accent5" w:themeTint="BF"/>
          <w:left w:val="single" w:sz="8" w:space="0" w:color="F36A70" w:themeColor="accent5" w:themeTint="BF"/>
          <w:bottom w:val="single" w:sz="8" w:space="0" w:color="F36A70" w:themeColor="accent5" w:themeTint="BF"/>
          <w:right w:val="single" w:sz="8" w:space="0" w:color="F36A70" w:themeColor="accent5" w:themeTint="BF"/>
          <w:insideH w:val="nil"/>
          <w:insideV w:val="nil"/>
        </w:tcBorders>
        <w:shd w:val="clear" w:color="auto" w:fill="EF3942" w:themeFill="accent5"/>
      </w:tcPr>
    </w:tblStylePr>
    <w:tblStylePr w:type="lastRow">
      <w:pPr>
        <w:spacing w:before="0" w:after="0" w:line="240" w:lineRule="auto"/>
      </w:pPr>
      <w:rPr>
        <w:b/>
        <w:bCs/>
      </w:rPr>
      <w:tblPr/>
      <w:tcPr>
        <w:tcBorders>
          <w:top w:val="double" w:sz="6" w:space="0" w:color="F36A70" w:themeColor="accent5" w:themeTint="BF"/>
          <w:left w:val="single" w:sz="8" w:space="0" w:color="F36A70" w:themeColor="accent5" w:themeTint="BF"/>
          <w:bottom w:val="single" w:sz="8" w:space="0" w:color="F36A70" w:themeColor="accent5" w:themeTint="BF"/>
          <w:right w:val="single" w:sz="8" w:space="0" w:color="F36A7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CDCF" w:themeFill="accent5" w:themeFillTint="3F"/>
      </w:tcPr>
    </w:tblStylePr>
    <w:tblStylePr w:type="band1Horz">
      <w:tblPr/>
      <w:tcPr>
        <w:tcBorders>
          <w:insideH w:val="nil"/>
          <w:insideV w:val="nil"/>
        </w:tcBorders>
        <w:shd w:val="clear" w:color="auto" w:fill="FBCD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70B73"/>
    <w:pPr>
      <w:spacing w:after="0" w:line="240" w:lineRule="auto"/>
    </w:pPr>
    <w:tblPr>
      <w:tblStyleRowBandSize w:val="1"/>
      <w:tblStyleColBandSize w:val="1"/>
      <w:tblBorders>
        <w:top w:val="single" w:sz="8" w:space="0" w:color="FDE342" w:themeColor="accent6" w:themeTint="BF"/>
        <w:left w:val="single" w:sz="8" w:space="0" w:color="FDE342" w:themeColor="accent6" w:themeTint="BF"/>
        <w:bottom w:val="single" w:sz="8" w:space="0" w:color="FDE342" w:themeColor="accent6" w:themeTint="BF"/>
        <w:right w:val="single" w:sz="8" w:space="0" w:color="FDE342" w:themeColor="accent6" w:themeTint="BF"/>
        <w:insideH w:val="single" w:sz="8" w:space="0" w:color="FDE342" w:themeColor="accent6" w:themeTint="BF"/>
      </w:tblBorders>
    </w:tblPr>
    <w:tblStylePr w:type="firstRow">
      <w:pPr>
        <w:spacing w:before="0" w:after="0" w:line="240" w:lineRule="auto"/>
      </w:pPr>
      <w:rPr>
        <w:b/>
        <w:bCs/>
        <w:color w:val="FFFFFF" w:themeColor="background1"/>
      </w:rPr>
      <w:tblPr/>
      <w:tcPr>
        <w:tcBorders>
          <w:top w:val="single" w:sz="8" w:space="0" w:color="FDE342" w:themeColor="accent6" w:themeTint="BF"/>
          <w:left w:val="single" w:sz="8" w:space="0" w:color="FDE342" w:themeColor="accent6" w:themeTint="BF"/>
          <w:bottom w:val="single" w:sz="8" w:space="0" w:color="FDE342" w:themeColor="accent6" w:themeTint="BF"/>
          <w:right w:val="single" w:sz="8" w:space="0" w:color="FDE342" w:themeColor="accent6" w:themeTint="BF"/>
          <w:insideH w:val="nil"/>
          <w:insideV w:val="nil"/>
        </w:tcBorders>
        <w:shd w:val="clear" w:color="auto" w:fill="FDDB03" w:themeFill="accent6"/>
      </w:tcPr>
    </w:tblStylePr>
    <w:tblStylePr w:type="lastRow">
      <w:pPr>
        <w:spacing w:before="0" w:after="0" w:line="240" w:lineRule="auto"/>
      </w:pPr>
      <w:rPr>
        <w:b/>
        <w:bCs/>
      </w:rPr>
      <w:tblPr/>
      <w:tcPr>
        <w:tcBorders>
          <w:top w:val="double" w:sz="6" w:space="0" w:color="FDE342" w:themeColor="accent6" w:themeTint="BF"/>
          <w:left w:val="single" w:sz="8" w:space="0" w:color="FDE342" w:themeColor="accent6" w:themeTint="BF"/>
          <w:bottom w:val="single" w:sz="8" w:space="0" w:color="FDE342" w:themeColor="accent6" w:themeTint="BF"/>
          <w:right w:val="single" w:sz="8" w:space="0" w:color="FDE3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F5C0" w:themeFill="accent6" w:themeFillTint="3F"/>
      </w:tcPr>
    </w:tblStylePr>
    <w:tblStylePr w:type="band1Horz">
      <w:tblPr/>
      <w:tcPr>
        <w:tcBorders>
          <w:insideH w:val="nil"/>
          <w:insideV w:val="nil"/>
        </w:tcBorders>
        <w:shd w:val="clear" w:color="auto" w:fill="FEF5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70B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70B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B31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CB319" w:themeFill="accent1"/>
      </w:tcPr>
    </w:tblStylePr>
    <w:tblStylePr w:type="lastCol">
      <w:rPr>
        <w:b/>
        <w:bCs/>
        <w:color w:val="FFFFFF" w:themeColor="background1"/>
      </w:rPr>
      <w:tblPr/>
      <w:tcPr>
        <w:tcBorders>
          <w:left w:val="nil"/>
          <w:right w:val="nil"/>
          <w:insideH w:val="nil"/>
          <w:insideV w:val="nil"/>
        </w:tcBorders>
        <w:shd w:val="clear" w:color="auto" w:fill="FCB31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70B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0E8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0E8A" w:themeFill="accent2"/>
      </w:tcPr>
    </w:tblStylePr>
    <w:tblStylePr w:type="lastCol">
      <w:rPr>
        <w:b/>
        <w:bCs/>
        <w:color w:val="FFFFFF" w:themeColor="background1"/>
      </w:rPr>
      <w:tblPr/>
      <w:tcPr>
        <w:tcBorders>
          <w:left w:val="nil"/>
          <w:right w:val="nil"/>
          <w:insideH w:val="nil"/>
          <w:insideV w:val="nil"/>
        </w:tcBorders>
        <w:shd w:val="clear" w:color="auto" w:fill="E70E8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70B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3E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3E4" w:themeFill="accent3"/>
      </w:tcPr>
    </w:tblStylePr>
    <w:tblStylePr w:type="lastCol">
      <w:rPr>
        <w:b/>
        <w:bCs/>
        <w:color w:val="FFFFFF" w:themeColor="background1"/>
      </w:rPr>
      <w:tblPr/>
      <w:tcPr>
        <w:tcBorders>
          <w:left w:val="nil"/>
          <w:right w:val="nil"/>
          <w:insideH w:val="nil"/>
          <w:insideV w:val="nil"/>
        </w:tcBorders>
        <w:shd w:val="clear" w:color="auto" w:fill="00B3E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70B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BC64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BC640" w:themeFill="accent4"/>
      </w:tcPr>
    </w:tblStylePr>
    <w:tblStylePr w:type="lastCol">
      <w:rPr>
        <w:b/>
        <w:bCs/>
        <w:color w:val="FFFFFF" w:themeColor="background1"/>
      </w:rPr>
      <w:tblPr/>
      <w:tcPr>
        <w:tcBorders>
          <w:left w:val="nil"/>
          <w:right w:val="nil"/>
          <w:insideH w:val="nil"/>
          <w:insideV w:val="nil"/>
        </w:tcBorders>
        <w:shd w:val="clear" w:color="auto" w:fill="8BC64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70B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39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F3942" w:themeFill="accent5"/>
      </w:tcPr>
    </w:tblStylePr>
    <w:tblStylePr w:type="lastCol">
      <w:rPr>
        <w:b/>
        <w:bCs/>
        <w:color w:val="FFFFFF" w:themeColor="background1"/>
      </w:rPr>
      <w:tblPr/>
      <w:tcPr>
        <w:tcBorders>
          <w:left w:val="nil"/>
          <w:right w:val="nil"/>
          <w:insideH w:val="nil"/>
          <w:insideV w:val="nil"/>
        </w:tcBorders>
        <w:shd w:val="clear" w:color="auto" w:fill="EF39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70B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DB0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DB03" w:themeFill="accent6"/>
      </w:tcPr>
    </w:tblStylePr>
    <w:tblStylePr w:type="lastCol">
      <w:rPr>
        <w:b/>
        <w:bCs/>
        <w:color w:val="FFFFFF" w:themeColor="background1"/>
      </w:rPr>
      <w:tblPr/>
      <w:tcPr>
        <w:tcBorders>
          <w:left w:val="nil"/>
          <w:right w:val="nil"/>
          <w:insideH w:val="nil"/>
          <w:insideV w:val="nil"/>
        </w:tcBorders>
        <w:shd w:val="clear" w:color="auto" w:fill="FDDB0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570B73"/>
    <w:rPr>
      <w:color w:val="2B579A"/>
      <w:shd w:val="clear" w:color="auto" w:fill="E6E6E6"/>
    </w:rPr>
  </w:style>
  <w:style w:type="paragraph" w:styleId="MessageHeader">
    <w:name w:val="Message Header"/>
    <w:basedOn w:val="Normal"/>
    <w:link w:val="MessageHeaderChar"/>
    <w:uiPriority w:val="99"/>
    <w:semiHidden/>
    <w:unhideWhenUsed/>
    <w:rsid w:val="00570B7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70B73"/>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570B73"/>
    <w:rPr>
      <w:rFonts w:ascii="Times New Roman" w:hAnsi="Times New Roman" w:cs="Times New Roman"/>
      <w:sz w:val="24"/>
      <w:szCs w:val="24"/>
    </w:rPr>
  </w:style>
  <w:style w:type="paragraph" w:styleId="NormalIndent">
    <w:name w:val="Normal Indent"/>
    <w:basedOn w:val="Normal"/>
    <w:uiPriority w:val="99"/>
    <w:semiHidden/>
    <w:unhideWhenUsed/>
    <w:rsid w:val="00570B73"/>
    <w:pPr>
      <w:ind w:left="720"/>
    </w:pPr>
  </w:style>
  <w:style w:type="paragraph" w:styleId="NoteHeading">
    <w:name w:val="Note Heading"/>
    <w:basedOn w:val="Normal"/>
    <w:next w:val="Normal"/>
    <w:link w:val="NoteHeadingChar"/>
    <w:uiPriority w:val="99"/>
    <w:semiHidden/>
    <w:unhideWhenUsed/>
    <w:rsid w:val="00570B73"/>
  </w:style>
  <w:style w:type="character" w:customStyle="1" w:styleId="NoteHeadingChar">
    <w:name w:val="Note Heading Char"/>
    <w:basedOn w:val="DefaultParagraphFont"/>
    <w:link w:val="NoteHeading"/>
    <w:uiPriority w:val="99"/>
    <w:semiHidden/>
    <w:rsid w:val="00570B73"/>
  </w:style>
  <w:style w:type="character" w:styleId="PageNumber">
    <w:name w:val="page number"/>
    <w:basedOn w:val="DefaultParagraphFont"/>
    <w:uiPriority w:val="99"/>
    <w:semiHidden/>
    <w:unhideWhenUsed/>
    <w:rsid w:val="00570B73"/>
  </w:style>
  <w:style w:type="character" w:styleId="PlaceholderText">
    <w:name w:val="Placeholder Text"/>
    <w:basedOn w:val="DefaultParagraphFont"/>
    <w:uiPriority w:val="99"/>
    <w:semiHidden/>
    <w:rsid w:val="00DF0E94"/>
    <w:rPr>
      <w:color w:val="00B050"/>
    </w:rPr>
  </w:style>
  <w:style w:type="table" w:customStyle="1" w:styleId="PlainTable11">
    <w:name w:val="Plain Table 11"/>
    <w:basedOn w:val="TableNormal"/>
    <w:uiPriority w:val="99"/>
    <w:semiHidden/>
    <w:rsid w:val="00570B7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99"/>
    <w:semiHidden/>
    <w:rsid w:val="00570B7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99"/>
    <w:semiHidden/>
    <w:rsid w:val="00570B7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99"/>
    <w:semiHidden/>
    <w:rsid w:val="00570B7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99"/>
    <w:semiHidden/>
    <w:rsid w:val="00570B7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70B73"/>
    <w:rPr>
      <w:rFonts w:ascii="Consolas" w:hAnsi="Consolas"/>
      <w:sz w:val="21"/>
      <w:szCs w:val="21"/>
    </w:rPr>
  </w:style>
  <w:style w:type="character" w:customStyle="1" w:styleId="PlainTextChar">
    <w:name w:val="Plain Text Char"/>
    <w:basedOn w:val="DefaultParagraphFont"/>
    <w:link w:val="PlainText"/>
    <w:uiPriority w:val="99"/>
    <w:semiHidden/>
    <w:rsid w:val="00570B73"/>
    <w:rPr>
      <w:rFonts w:ascii="Consolas" w:hAnsi="Consolas"/>
      <w:sz w:val="21"/>
      <w:szCs w:val="21"/>
    </w:rPr>
  </w:style>
  <w:style w:type="paragraph" w:styleId="Quote">
    <w:name w:val="Quote"/>
    <w:basedOn w:val="Normal"/>
    <w:next w:val="Normal"/>
    <w:link w:val="QuoteChar"/>
    <w:uiPriority w:val="29"/>
    <w:semiHidden/>
    <w:qFormat/>
    <w:rsid w:val="00570B7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0B73"/>
    <w:rPr>
      <w:i/>
      <w:iCs/>
      <w:color w:val="404040" w:themeColor="text1" w:themeTint="BF"/>
    </w:rPr>
  </w:style>
  <w:style w:type="paragraph" w:styleId="Salutation">
    <w:name w:val="Salutation"/>
    <w:basedOn w:val="Normal"/>
    <w:next w:val="Normal"/>
    <w:link w:val="SalutationChar"/>
    <w:uiPriority w:val="99"/>
    <w:semiHidden/>
    <w:unhideWhenUsed/>
    <w:rsid w:val="00570B73"/>
  </w:style>
  <w:style w:type="character" w:customStyle="1" w:styleId="SalutationChar">
    <w:name w:val="Salutation Char"/>
    <w:basedOn w:val="DefaultParagraphFont"/>
    <w:link w:val="Salutation"/>
    <w:uiPriority w:val="99"/>
    <w:semiHidden/>
    <w:rsid w:val="00570B73"/>
  </w:style>
  <w:style w:type="paragraph" w:styleId="Signature">
    <w:name w:val="Signature"/>
    <w:basedOn w:val="Normal"/>
    <w:link w:val="SignatureChar"/>
    <w:uiPriority w:val="99"/>
    <w:semiHidden/>
    <w:unhideWhenUsed/>
    <w:rsid w:val="00570B73"/>
    <w:pPr>
      <w:ind w:left="4252"/>
    </w:pPr>
  </w:style>
  <w:style w:type="character" w:customStyle="1" w:styleId="SignatureChar">
    <w:name w:val="Signature Char"/>
    <w:basedOn w:val="DefaultParagraphFont"/>
    <w:link w:val="Signature"/>
    <w:uiPriority w:val="99"/>
    <w:semiHidden/>
    <w:rsid w:val="00570B73"/>
  </w:style>
  <w:style w:type="character" w:customStyle="1" w:styleId="SmartHyperlink1">
    <w:name w:val="Smart Hyperlink1"/>
    <w:basedOn w:val="DefaultParagraphFont"/>
    <w:uiPriority w:val="99"/>
    <w:semiHidden/>
    <w:unhideWhenUsed/>
    <w:rsid w:val="00570B73"/>
    <w:rPr>
      <w:u w:val="dotted"/>
    </w:rPr>
  </w:style>
  <w:style w:type="character" w:styleId="Strong">
    <w:name w:val="Strong"/>
    <w:basedOn w:val="DefaultParagraphFont"/>
    <w:uiPriority w:val="22"/>
    <w:semiHidden/>
    <w:qFormat/>
    <w:rsid w:val="00570B73"/>
    <w:rPr>
      <w:b/>
      <w:bCs/>
    </w:rPr>
  </w:style>
  <w:style w:type="paragraph" w:styleId="Subtitle">
    <w:name w:val="Subtitle"/>
    <w:basedOn w:val="Normal"/>
    <w:next w:val="Normal"/>
    <w:link w:val="SubtitleChar"/>
    <w:uiPriority w:val="11"/>
    <w:semiHidden/>
    <w:qFormat/>
    <w:rsid w:val="00570B73"/>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570B73"/>
    <w:rPr>
      <w:color w:val="5A5A5A" w:themeColor="text1" w:themeTint="A5"/>
      <w:spacing w:val="15"/>
    </w:rPr>
  </w:style>
  <w:style w:type="character" w:styleId="SubtleEmphasis">
    <w:name w:val="Subtle Emphasis"/>
    <w:basedOn w:val="DefaultParagraphFont"/>
    <w:uiPriority w:val="19"/>
    <w:semiHidden/>
    <w:qFormat/>
    <w:rsid w:val="00570B73"/>
    <w:rPr>
      <w:i/>
      <w:iCs/>
      <w:color w:val="404040" w:themeColor="text1" w:themeTint="BF"/>
    </w:rPr>
  </w:style>
  <w:style w:type="character" w:styleId="SubtleReference">
    <w:name w:val="Subtle Reference"/>
    <w:basedOn w:val="DefaultParagraphFont"/>
    <w:uiPriority w:val="31"/>
    <w:semiHidden/>
    <w:qFormat/>
    <w:rsid w:val="00570B73"/>
    <w:rPr>
      <w:smallCaps/>
      <w:color w:val="5A5A5A" w:themeColor="text1" w:themeTint="A5"/>
    </w:rPr>
  </w:style>
  <w:style w:type="table" w:styleId="Table3Deffects1">
    <w:name w:val="Table 3D effects 1"/>
    <w:basedOn w:val="TableNormal"/>
    <w:uiPriority w:val="99"/>
    <w:semiHidden/>
    <w:unhideWhenUsed/>
    <w:rsid w:val="00570B73"/>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70B73"/>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70B73"/>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70B73"/>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70B73"/>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70B73"/>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70B73"/>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70B73"/>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70B73"/>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70B73"/>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70B73"/>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70B73"/>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70B73"/>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70B73"/>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70B73"/>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70B73"/>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70B73"/>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70B73"/>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70B73"/>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70B73"/>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70B73"/>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70B73"/>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70B73"/>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70B73"/>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70B73"/>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99"/>
    <w:semiHidden/>
    <w:rsid w:val="00570B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70B73"/>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70B73"/>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70B73"/>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70B73"/>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70B73"/>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70B73"/>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70B73"/>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70B73"/>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70B73"/>
    <w:pPr>
      <w:ind w:left="220" w:hanging="220"/>
    </w:pPr>
  </w:style>
  <w:style w:type="paragraph" w:styleId="TableofFigures">
    <w:name w:val="table of figures"/>
    <w:basedOn w:val="Normal"/>
    <w:next w:val="Normal"/>
    <w:uiPriority w:val="99"/>
    <w:semiHidden/>
    <w:unhideWhenUsed/>
    <w:rsid w:val="00570B73"/>
  </w:style>
  <w:style w:type="table" w:styleId="TableProfessional">
    <w:name w:val="Table Professional"/>
    <w:basedOn w:val="TableNormal"/>
    <w:uiPriority w:val="99"/>
    <w:semiHidden/>
    <w:unhideWhenUsed/>
    <w:rsid w:val="00570B73"/>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70B73"/>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70B73"/>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70B73"/>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70B73"/>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70B73"/>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570B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70B73"/>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70B73"/>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570B73"/>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70B7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rsid w:val="00DF0E94"/>
    <w:pPr>
      <w:spacing w:after="100"/>
    </w:pPr>
  </w:style>
  <w:style w:type="paragraph" w:styleId="TOC2">
    <w:name w:val="toc 2"/>
    <w:basedOn w:val="Normal"/>
    <w:next w:val="Normal"/>
    <w:autoRedefine/>
    <w:uiPriority w:val="39"/>
    <w:semiHidden/>
    <w:rsid w:val="00DF0E94"/>
    <w:pPr>
      <w:spacing w:after="100"/>
      <w:ind w:left="220"/>
    </w:pPr>
  </w:style>
  <w:style w:type="paragraph" w:styleId="TOC3">
    <w:name w:val="toc 3"/>
    <w:basedOn w:val="Normal"/>
    <w:next w:val="Normal"/>
    <w:autoRedefine/>
    <w:uiPriority w:val="39"/>
    <w:semiHidden/>
    <w:rsid w:val="00DF0E94"/>
    <w:pPr>
      <w:spacing w:after="100"/>
      <w:ind w:left="440"/>
    </w:pPr>
  </w:style>
  <w:style w:type="paragraph" w:styleId="TOC4">
    <w:name w:val="toc 4"/>
    <w:basedOn w:val="Normal"/>
    <w:next w:val="Normal"/>
    <w:autoRedefine/>
    <w:uiPriority w:val="39"/>
    <w:semiHidden/>
    <w:rsid w:val="00DF0E94"/>
    <w:pPr>
      <w:spacing w:after="100"/>
      <w:ind w:left="660"/>
    </w:pPr>
  </w:style>
  <w:style w:type="paragraph" w:styleId="TOC5">
    <w:name w:val="toc 5"/>
    <w:basedOn w:val="Normal"/>
    <w:next w:val="Normal"/>
    <w:autoRedefine/>
    <w:uiPriority w:val="39"/>
    <w:semiHidden/>
    <w:rsid w:val="00DF0E94"/>
    <w:pPr>
      <w:spacing w:after="100"/>
      <w:ind w:left="880"/>
    </w:pPr>
  </w:style>
  <w:style w:type="paragraph" w:styleId="TOC6">
    <w:name w:val="toc 6"/>
    <w:basedOn w:val="Normal"/>
    <w:next w:val="Normal"/>
    <w:autoRedefine/>
    <w:uiPriority w:val="39"/>
    <w:semiHidden/>
    <w:rsid w:val="00DF0E94"/>
    <w:pPr>
      <w:spacing w:after="100"/>
      <w:ind w:left="1100"/>
    </w:pPr>
  </w:style>
  <w:style w:type="paragraph" w:styleId="TOC7">
    <w:name w:val="toc 7"/>
    <w:basedOn w:val="Normal"/>
    <w:next w:val="Normal"/>
    <w:autoRedefine/>
    <w:uiPriority w:val="39"/>
    <w:semiHidden/>
    <w:rsid w:val="00DF0E94"/>
    <w:pPr>
      <w:spacing w:after="100"/>
      <w:ind w:left="1320"/>
    </w:pPr>
  </w:style>
  <w:style w:type="paragraph" w:styleId="TOC8">
    <w:name w:val="toc 8"/>
    <w:basedOn w:val="Normal"/>
    <w:next w:val="Normal"/>
    <w:autoRedefine/>
    <w:uiPriority w:val="39"/>
    <w:semiHidden/>
    <w:rsid w:val="00DF0E94"/>
    <w:pPr>
      <w:spacing w:after="100"/>
      <w:ind w:left="1540"/>
    </w:pPr>
  </w:style>
  <w:style w:type="paragraph" w:styleId="TOC9">
    <w:name w:val="toc 9"/>
    <w:basedOn w:val="Normal"/>
    <w:next w:val="Normal"/>
    <w:autoRedefine/>
    <w:uiPriority w:val="39"/>
    <w:semiHidden/>
    <w:rsid w:val="00DF0E94"/>
    <w:pPr>
      <w:spacing w:after="100"/>
      <w:ind w:left="1760"/>
    </w:pPr>
  </w:style>
  <w:style w:type="paragraph" w:styleId="TOCHeading">
    <w:name w:val="TOC Heading"/>
    <w:basedOn w:val="Heading1"/>
    <w:next w:val="Normal"/>
    <w:uiPriority w:val="39"/>
    <w:semiHidden/>
    <w:unhideWhenUsed/>
    <w:qFormat/>
    <w:rsid w:val="00570B73"/>
    <w:pPr>
      <w:spacing w:after="0" w:line="240" w:lineRule="auto"/>
      <w:outlineLvl w:val="9"/>
    </w:pPr>
    <w:rPr>
      <w:b w:val="0"/>
      <w:color w:val="CC8A02" w:themeColor="accent1" w:themeShade="BF"/>
      <w:sz w:val="32"/>
    </w:rPr>
  </w:style>
  <w:style w:type="character" w:customStyle="1" w:styleId="UnresolvedMention1">
    <w:name w:val="Unresolved Mention1"/>
    <w:basedOn w:val="DefaultParagraphFont"/>
    <w:uiPriority w:val="99"/>
    <w:semiHidden/>
    <w:unhideWhenUsed/>
    <w:rsid w:val="00570B73"/>
    <w:rPr>
      <w:color w:val="808080"/>
      <w:shd w:val="clear" w:color="auto" w:fill="E6E6E6"/>
    </w:rPr>
  </w:style>
  <w:style w:type="numbering" w:customStyle="1" w:styleId="ListBullets">
    <w:name w:val="List Bullets"/>
    <w:uiPriority w:val="99"/>
    <w:rsid w:val="00DF0E94"/>
    <w:pPr>
      <w:numPr>
        <w:numId w:val="7"/>
      </w:numPr>
    </w:pPr>
  </w:style>
  <w:style w:type="paragraph" w:customStyle="1" w:styleId="TitleHeading">
    <w:name w:val="Title Heading"/>
    <w:basedOn w:val="Heading1"/>
    <w:qFormat/>
    <w:rsid w:val="00DF0E94"/>
    <w:rPr>
      <w:sz w:val="48"/>
    </w:rPr>
  </w:style>
  <w:style w:type="paragraph" w:customStyle="1" w:styleId="InstructionText">
    <w:name w:val="Instruction Text"/>
    <w:basedOn w:val="Normal"/>
    <w:link w:val="InstructionTextChar"/>
    <w:semiHidden/>
    <w:rsid w:val="00DF0E94"/>
    <w:pPr>
      <w:keepNext/>
      <w:pBdr>
        <w:top w:val="single" w:sz="4" w:space="1" w:color="999999"/>
        <w:left w:val="single" w:sz="4" w:space="4" w:color="999999"/>
        <w:bottom w:val="single" w:sz="4" w:space="1" w:color="999999"/>
        <w:right w:val="single" w:sz="4" w:space="4" w:color="999999"/>
      </w:pBdr>
      <w:shd w:val="clear" w:color="auto" w:fill="CCFFCC"/>
      <w:spacing w:before="120" w:after="120"/>
    </w:pPr>
    <w:rPr>
      <w:rFonts w:ascii="Arial" w:hAnsi="Arial"/>
      <w:color w:val="1E75BA" w:themeColor="text2"/>
      <w:sz w:val="18"/>
      <w:lang w:eastAsia="en-US"/>
    </w:rPr>
  </w:style>
  <w:style w:type="character" w:customStyle="1" w:styleId="InstructionTextChar">
    <w:name w:val="Instruction Text Char"/>
    <w:link w:val="InstructionText"/>
    <w:semiHidden/>
    <w:rsid w:val="00DF0E94"/>
    <w:rPr>
      <w:rFonts w:ascii="Arial" w:hAnsi="Arial"/>
      <w:color w:val="1E75BA" w:themeColor="text2"/>
      <w:sz w:val="18"/>
      <w:shd w:val="clear" w:color="auto" w:fill="CCFFCC"/>
      <w:lang w:eastAsia="en-US"/>
    </w:rPr>
  </w:style>
  <w:style w:type="character" w:customStyle="1" w:styleId="AdaButton">
    <w:name w:val="AdaButton"/>
    <w:basedOn w:val="DefaultParagraphFont"/>
    <w:uiPriority w:val="1"/>
    <w:semiHidden/>
    <w:qFormat/>
    <w:rsid w:val="00DF0E94"/>
    <w:rPr>
      <w:b w:val="0"/>
      <w:color w:val="CCFFCC"/>
      <w:sz w:val="40"/>
      <w:bdr w:val="single" w:sz="4" w:space="0" w:color="44546A"/>
      <w:shd w:val="clear" w:color="auto" w:fill="999999"/>
    </w:rPr>
  </w:style>
  <w:style w:type="paragraph" w:customStyle="1" w:styleId="FooterHeading">
    <w:name w:val="Footer Heading"/>
    <w:basedOn w:val="Footer"/>
    <w:next w:val="Footer"/>
    <w:semiHidden/>
    <w:qFormat/>
    <w:rsid w:val="00DF0E94"/>
    <w:rPr>
      <w:b/>
      <w:sz w:val="21"/>
    </w:rPr>
  </w:style>
  <w:style w:type="paragraph" w:customStyle="1" w:styleId="Reference">
    <w:name w:val="Reference"/>
    <w:basedOn w:val="Footer"/>
    <w:semiHidden/>
    <w:qFormat/>
    <w:rsid w:val="00DF0E94"/>
    <w:pPr>
      <w:jc w:val="left"/>
    </w:pPr>
    <w:rPr>
      <w:sz w:val="13"/>
    </w:rPr>
  </w:style>
  <w:style w:type="table" w:styleId="GridTable1Light">
    <w:name w:val="Grid Table 1 Light"/>
    <w:basedOn w:val="TableNormal"/>
    <w:uiPriority w:val="46"/>
    <w:rsid w:val="00DF0E9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F0E94"/>
    <w:pPr>
      <w:spacing w:after="0" w:line="240" w:lineRule="auto"/>
    </w:pPr>
    <w:tblPr>
      <w:tblStyleRowBandSize w:val="1"/>
      <w:tblStyleColBandSize w:val="1"/>
      <w:tblBorders>
        <w:top w:val="single" w:sz="4" w:space="0" w:color="FDE0A2" w:themeColor="accent1" w:themeTint="66"/>
        <w:left w:val="single" w:sz="4" w:space="0" w:color="FDE0A2" w:themeColor="accent1" w:themeTint="66"/>
        <w:bottom w:val="single" w:sz="4" w:space="0" w:color="FDE0A2" w:themeColor="accent1" w:themeTint="66"/>
        <w:right w:val="single" w:sz="4" w:space="0" w:color="FDE0A2" w:themeColor="accent1" w:themeTint="66"/>
        <w:insideH w:val="single" w:sz="4" w:space="0" w:color="FDE0A2" w:themeColor="accent1" w:themeTint="66"/>
        <w:insideV w:val="single" w:sz="4" w:space="0" w:color="FDE0A2" w:themeColor="accent1" w:themeTint="66"/>
      </w:tblBorders>
    </w:tblPr>
    <w:tblStylePr w:type="firstRow">
      <w:rPr>
        <w:b/>
        <w:bCs/>
      </w:rPr>
      <w:tblPr/>
      <w:tcPr>
        <w:tcBorders>
          <w:bottom w:val="single" w:sz="12" w:space="0" w:color="FDD074" w:themeColor="accent1" w:themeTint="99"/>
        </w:tcBorders>
      </w:tcPr>
    </w:tblStylePr>
    <w:tblStylePr w:type="lastRow">
      <w:rPr>
        <w:b/>
        <w:bCs/>
      </w:rPr>
      <w:tblPr/>
      <w:tcPr>
        <w:tcBorders>
          <w:top w:val="double" w:sz="2" w:space="0" w:color="FDD07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F0E94"/>
    <w:pPr>
      <w:spacing w:after="0" w:line="240" w:lineRule="auto"/>
    </w:pPr>
    <w:tblPr>
      <w:tblStyleRowBandSize w:val="1"/>
      <w:tblStyleColBandSize w:val="1"/>
      <w:tblBorders>
        <w:top w:val="single" w:sz="4" w:space="0" w:color="F99BD0" w:themeColor="accent2" w:themeTint="66"/>
        <w:left w:val="single" w:sz="4" w:space="0" w:color="F99BD0" w:themeColor="accent2" w:themeTint="66"/>
        <w:bottom w:val="single" w:sz="4" w:space="0" w:color="F99BD0" w:themeColor="accent2" w:themeTint="66"/>
        <w:right w:val="single" w:sz="4" w:space="0" w:color="F99BD0" w:themeColor="accent2" w:themeTint="66"/>
        <w:insideH w:val="single" w:sz="4" w:space="0" w:color="F99BD0" w:themeColor="accent2" w:themeTint="66"/>
        <w:insideV w:val="single" w:sz="4" w:space="0" w:color="F99BD0" w:themeColor="accent2" w:themeTint="66"/>
      </w:tblBorders>
    </w:tblPr>
    <w:tblStylePr w:type="firstRow">
      <w:rPr>
        <w:b/>
        <w:bCs/>
      </w:rPr>
      <w:tblPr/>
      <w:tcPr>
        <w:tcBorders>
          <w:bottom w:val="single" w:sz="12" w:space="0" w:color="F669B9" w:themeColor="accent2" w:themeTint="99"/>
        </w:tcBorders>
      </w:tcPr>
    </w:tblStylePr>
    <w:tblStylePr w:type="lastRow">
      <w:rPr>
        <w:b/>
        <w:bCs/>
      </w:rPr>
      <w:tblPr/>
      <w:tcPr>
        <w:tcBorders>
          <w:top w:val="double" w:sz="2" w:space="0" w:color="F669B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F0E94"/>
    <w:pPr>
      <w:spacing w:after="0" w:line="240" w:lineRule="auto"/>
    </w:pPr>
    <w:tblPr>
      <w:tblStyleRowBandSize w:val="1"/>
      <w:tblStyleColBandSize w:val="1"/>
      <w:tblBorders>
        <w:top w:val="single" w:sz="4" w:space="0" w:color="8EE6FF" w:themeColor="accent3" w:themeTint="66"/>
        <w:left w:val="single" w:sz="4" w:space="0" w:color="8EE6FF" w:themeColor="accent3" w:themeTint="66"/>
        <w:bottom w:val="single" w:sz="4" w:space="0" w:color="8EE6FF" w:themeColor="accent3" w:themeTint="66"/>
        <w:right w:val="single" w:sz="4" w:space="0" w:color="8EE6FF" w:themeColor="accent3" w:themeTint="66"/>
        <w:insideH w:val="single" w:sz="4" w:space="0" w:color="8EE6FF" w:themeColor="accent3" w:themeTint="66"/>
        <w:insideV w:val="single" w:sz="4" w:space="0" w:color="8EE6FF" w:themeColor="accent3" w:themeTint="66"/>
      </w:tblBorders>
    </w:tblPr>
    <w:tblStylePr w:type="firstRow">
      <w:rPr>
        <w:b/>
        <w:bCs/>
      </w:rPr>
      <w:tblPr/>
      <w:tcPr>
        <w:tcBorders>
          <w:bottom w:val="single" w:sz="12" w:space="0" w:color="55DAFF" w:themeColor="accent3" w:themeTint="99"/>
        </w:tcBorders>
      </w:tcPr>
    </w:tblStylePr>
    <w:tblStylePr w:type="lastRow">
      <w:rPr>
        <w:b/>
        <w:bCs/>
      </w:rPr>
      <w:tblPr/>
      <w:tcPr>
        <w:tcBorders>
          <w:top w:val="double" w:sz="2" w:space="0" w:color="55DA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F0E94"/>
    <w:pPr>
      <w:spacing w:after="0" w:line="240" w:lineRule="auto"/>
    </w:pPr>
    <w:tblPr>
      <w:tblStyleRowBandSize w:val="1"/>
      <w:tblStyleColBandSize w:val="1"/>
      <w:tblBorders>
        <w:top w:val="single" w:sz="4" w:space="0" w:color="D0E8B2" w:themeColor="accent4" w:themeTint="66"/>
        <w:left w:val="single" w:sz="4" w:space="0" w:color="D0E8B2" w:themeColor="accent4" w:themeTint="66"/>
        <w:bottom w:val="single" w:sz="4" w:space="0" w:color="D0E8B2" w:themeColor="accent4" w:themeTint="66"/>
        <w:right w:val="single" w:sz="4" w:space="0" w:color="D0E8B2" w:themeColor="accent4" w:themeTint="66"/>
        <w:insideH w:val="single" w:sz="4" w:space="0" w:color="D0E8B2" w:themeColor="accent4" w:themeTint="66"/>
        <w:insideV w:val="single" w:sz="4" w:space="0" w:color="D0E8B2" w:themeColor="accent4" w:themeTint="66"/>
      </w:tblBorders>
    </w:tblPr>
    <w:tblStylePr w:type="firstRow">
      <w:rPr>
        <w:b/>
        <w:bCs/>
      </w:rPr>
      <w:tblPr/>
      <w:tcPr>
        <w:tcBorders>
          <w:bottom w:val="single" w:sz="12" w:space="0" w:color="B9DC8C" w:themeColor="accent4" w:themeTint="99"/>
        </w:tcBorders>
      </w:tcPr>
    </w:tblStylePr>
    <w:tblStylePr w:type="lastRow">
      <w:rPr>
        <w:b/>
        <w:bCs/>
      </w:rPr>
      <w:tblPr/>
      <w:tcPr>
        <w:tcBorders>
          <w:top w:val="double" w:sz="2" w:space="0" w:color="B9DC8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F0E94"/>
    <w:pPr>
      <w:spacing w:after="0" w:line="240" w:lineRule="auto"/>
    </w:pPr>
    <w:tblPr>
      <w:tblStyleRowBandSize w:val="1"/>
      <w:tblStyleColBandSize w:val="1"/>
      <w:tblBorders>
        <w:top w:val="single" w:sz="4" w:space="0" w:color="F8AFB3" w:themeColor="accent5" w:themeTint="66"/>
        <w:left w:val="single" w:sz="4" w:space="0" w:color="F8AFB3" w:themeColor="accent5" w:themeTint="66"/>
        <w:bottom w:val="single" w:sz="4" w:space="0" w:color="F8AFB3" w:themeColor="accent5" w:themeTint="66"/>
        <w:right w:val="single" w:sz="4" w:space="0" w:color="F8AFB3" w:themeColor="accent5" w:themeTint="66"/>
        <w:insideH w:val="single" w:sz="4" w:space="0" w:color="F8AFB3" w:themeColor="accent5" w:themeTint="66"/>
        <w:insideV w:val="single" w:sz="4" w:space="0" w:color="F8AFB3" w:themeColor="accent5" w:themeTint="66"/>
      </w:tblBorders>
    </w:tblPr>
    <w:tblStylePr w:type="firstRow">
      <w:rPr>
        <w:b/>
        <w:bCs/>
      </w:rPr>
      <w:tblPr/>
      <w:tcPr>
        <w:tcBorders>
          <w:bottom w:val="single" w:sz="12" w:space="0" w:color="F5878C" w:themeColor="accent5" w:themeTint="99"/>
        </w:tcBorders>
      </w:tcPr>
    </w:tblStylePr>
    <w:tblStylePr w:type="lastRow">
      <w:rPr>
        <w:b/>
        <w:bCs/>
      </w:rPr>
      <w:tblPr/>
      <w:tcPr>
        <w:tcBorders>
          <w:top w:val="double" w:sz="2" w:space="0" w:color="F5878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F0E94"/>
    <w:pPr>
      <w:spacing w:after="0" w:line="240" w:lineRule="auto"/>
    </w:pPr>
    <w:tblPr>
      <w:tblStyleRowBandSize w:val="1"/>
      <w:tblStyleColBandSize w:val="1"/>
      <w:tblBorders>
        <w:top w:val="single" w:sz="4" w:space="0" w:color="FEF09A" w:themeColor="accent6" w:themeTint="66"/>
        <w:left w:val="single" w:sz="4" w:space="0" w:color="FEF09A" w:themeColor="accent6" w:themeTint="66"/>
        <w:bottom w:val="single" w:sz="4" w:space="0" w:color="FEF09A" w:themeColor="accent6" w:themeTint="66"/>
        <w:right w:val="single" w:sz="4" w:space="0" w:color="FEF09A" w:themeColor="accent6" w:themeTint="66"/>
        <w:insideH w:val="single" w:sz="4" w:space="0" w:color="FEF09A" w:themeColor="accent6" w:themeTint="66"/>
        <w:insideV w:val="single" w:sz="4" w:space="0" w:color="FEF09A" w:themeColor="accent6" w:themeTint="66"/>
      </w:tblBorders>
    </w:tblPr>
    <w:tblStylePr w:type="firstRow">
      <w:rPr>
        <w:b/>
        <w:bCs/>
      </w:rPr>
      <w:tblPr/>
      <w:tcPr>
        <w:tcBorders>
          <w:bottom w:val="single" w:sz="12" w:space="0" w:color="FDE967" w:themeColor="accent6" w:themeTint="99"/>
        </w:tcBorders>
      </w:tcPr>
    </w:tblStylePr>
    <w:tblStylePr w:type="lastRow">
      <w:rPr>
        <w:b/>
        <w:bCs/>
      </w:rPr>
      <w:tblPr/>
      <w:tcPr>
        <w:tcBorders>
          <w:top w:val="double" w:sz="2" w:space="0" w:color="FDE96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F0E9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F0E94"/>
    <w:pPr>
      <w:spacing w:after="0" w:line="240" w:lineRule="auto"/>
    </w:pPr>
    <w:tblPr>
      <w:tblStyleRowBandSize w:val="1"/>
      <w:tblStyleColBandSize w:val="1"/>
      <w:tblBorders>
        <w:top w:val="single" w:sz="2" w:space="0" w:color="FDD074" w:themeColor="accent1" w:themeTint="99"/>
        <w:bottom w:val="single" w:sz="2" w:space="0" w:color="FDD074" w:themeColor="accent1" w:themeTint="99"/>
        <w:insideH w:val="single" w:sz="2" w:space="0" w:color="FDD074" w:themeColor="accent1" w:themeTint="99"/>
        <w:insideV w:val="single" w:sz="2" w:space="0" w:color="FDD074" w:themeColor="accent1" w:themeTint="99"/>
      </w:tblBorders>
    </w:tblPr>
    <w:tblStylePr w:type="firstRow">
      <w:rPr>
        <w:b/>
        <w:bCs/>
      </w:rPr>
      <w:tblPr/>
      <w:tcPr>
        <w:tcBorders>
          <w:top w:val="nil"/>
          <w:bottom w:val="single" w:sz="12" w:space="0" w:color="FDD074" w:themeColor="accent1" w:themeTint="99"/>
          <w:insideH w:val="nil"/>
          <w:insideV w:val="nil"/>
        </w:tcBorders>
        <w:shd w:val="clear" w:color="auto" w:fill="FFFFFF" w:themeFill="background1"/>
      </w:tcPr>
    </w:tblStylePr>
    <w:tblStylePr w:type="lastRow">
      <w:rPr>
        <w:b/>
        <w:bCs/>
      </w:rPr>
      <w:tblPr/>
      <w:tcPr>
        <w:tcBorders>
          <w:top w:val="double" w:sz="2" w:space="0" w:color="FDD07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FD0" w:themeFill="accent1" w:themeFillTint="33"/>
      </w:tcPr>
    </w:tblStylePr>
    <w:tblStylePr w:type="band1Horz">
      <w:tblPr/>
      <w:tcPr>
        <w:shd w:val="clear" w:color="auto" w:fill="FEEFD0" w:themeFill="accent1" w:themeFillTint="33"/>
      </w:tcPr>
    </w:tblStylePr>
  </w:style>
  <w:style w:type="table" w:styleId="GridTable2-Accent2">
    <w:name w:val="Grid Table 2 Accent 2"/>
    <w:basedOn w:val="TableNormal"/>
    <w:uiPriority w:val="47"/>
    <w:rsid w:val="00DF0E94"/>
    <w:pPr>
      <w:spacing w:after="0" w:line="240" w:lineRule="auto"/>
    </w:pPr>
    <w:tblPr>
      <w:tblStyleRowBandSize w:val="1"/>
      <w:tblStyleColBandSize w:val="1"/>
      <w:tblBorders>
        <w:top w:val="single" w:sz="2" w:space="0" w:color="F669B9" w:themeColor="accent2" w:themeTint="99"/>
        <w:bottom w:val="single" w:sz="2" w:space="0" w:color="F669B9" w:themeColor="accent2" w:themeTint="99"/>
        <w:insideH w:val="single" w:sz="2" w:space="0" w:color="F669B9" w:themeColor="accent2" w:themeTint="99"/>
        <w:insideV w:val="single" w:sz="2" w:space="0" w:color="F669B9" w:themeColor="accent2" w:themeTint="99"/>
      </w:tblBorders>
    </w:tblPr>
    <w:tblStylePr w:type="firstRow">
      <w:rPr>
        <w:b/>
        <w:bCs/>
      </w:rPr>
      <w:tblPr/>
      <w:tcPr>
        <w:tcBorders>
          <w:top w:val="nil"/>
          <w:bottom w:val="single" w:sz="12" w:space="0" w:color="F669B9" w:themeColor="accent2" w:themeTint="99"/>
          <w:insideH w:val="nil"/>
          <w:insideV w:val="nil"/>
        </w:tcBorders>
        <w:shd w:val="clear" w:color="auto" w:fill="FFFFFF" w:themeFill="background1"/>
      </w:tcPr>
    </w:tblStylePr>
    <w:tblStylePr w:type="lastRow">
      <w:rPr>
        <w:b/>
        <w:bCs/>
      </w:rPr>
      <w:tblPr/>
      <w:tcPr>
        <w:tcBorders>
          <w:top w:val="double" w:sz="2" w:space="0" w:color="F669B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CDE7" w:themeFill="accent2" w:themeFillTint="33"/>
      </w:tcPr>
    </w:tblStylePr>
    <w:tblStylePr w:type="band1Horz">
      <w:tblPr/>
      <w:tcPr>
        <w:shd w:val="clear" w:color="auto" w:fill="FCCDE7" w:themeFill="accent2" w:themeFillTint="33"/>
      </w:tcPr>
    </w:tblStylePr>
  </w:style>
  <w:style w:type="table" w:styleId="GridTable2-Accent3">
    <w:name w:val="Grid Table 2 Accent 3"/>
    <w:basedOn w:val="TableNormal"/>
    <w:uiPriority w:val="47"/>
    <w:rsid w:val="00DF0E94"/>
    <w:pPr>
      <w:spacing w:after="0" w:line="240" w:lineRule="auto"/>
    </w:pPr>
    <w:tblPr>
      <w:tblStyleRowBandSize w:val="1"/>
      <w:tblStyleColBandSize w:val="1"/>
      <w:tblBorders>
        <w:top w:val="single" w:sz="2" w:space="0" w:color="55DAFF" w:themeColor="accent3" w:themeTint="99"/>
        <w:bottom w:val="single" w:sz="2" w:space="0" w:color="55DAFF" w:themeColor="accent3" w:themeTint="99"/>
        <w:insideH w:val="single" w:sz="2" w:space="0" w:color="55DAFF" w:themeColor="accent3" w:themeTint="99"/>
        <w:insideV w:val="single" w:sz="2" w:space="0" w:color="55DAFF" w:themeColor="accent3" w:themeTint="99"/>
      </w:tblBorders>
    </w:tblPr>
    <w:tblStylePr w:type="firstRow">
      <w:rPr>
        <w:b/>
        <w:bCs/>
      </w:rPr>
      <w:tblPr/>
      <w:tcPr>
        <w:tcBorders>
          <w:top w:val="nil"/>
          <w:bottom w:val="single" w:sz="12" w:space="0" w:color="55DAFF" w:themeColor="accent3" w:themeTint="99"/>
          <w:insideH w:val="nil"/>
          <w:insideV w:val="nil"/>
        </w:tcBorders>
        <w:shd w:val="clear" w:color="auto" w:fill="FFFFFF" w:themeFill="background1"/>
      </w:tcPr>
    </w:tblStylePr>
    <w:tblStylePr w:type="lastRow">
      <w:rPr>
        <w:b/>
        <w:bCs/>
      </w:rPr>
      <w:tblPr/>
      <w:tcPr>
        <w:tcBorders>
          <w:top w:val="double" w:sz="2" w:space="0" w:color="55DA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F2FF" w:themeFill="accent3" w:themeFillTint="33"/>
      </w:tcPr>
    </w:tblStylePr>
    <w:tblStylePr w:type="band1Horz">
      <w:tblPr/>
      <w:tcPr>
        <w:shd w:val="clear" w:color="auto" w:fill="C6F2FF" w:themeFill="accent3" w:themeFillTint="33"/>
      </w:tcPr>
    </w:tblStylePr>
  </w:style>
  <w:style w:type="table" w:styleId="GridTable2-Accent4">
    <w:name w:val="Grid Table 2 Accent 4"/>
    <w:basedOn w:val="TableNormal"/>
    <w:uiPriority w:val="47"/>
    <w:rsid w:val="00DF0E94"/>
    <w:pPr>
      <w:spacing w:after="0" w:line="240" w:lineRule="auto"/>
    </w:pPr>
    <w:tblPr>
      <w:tblStyleRowBandSize w:val="1"/>
      <w:tblStyleColBandSize w:val="1"/>
      <w:tblBorders>
        <w:top w:val="single" w:sz="2" w:space="0" w:color="B9DC8C" w:themeColor="accent4" w:themeTint="99"/>
        <w:bottom w:val="single" w:sz="2" w:space="0" w:color="B9DC8C" w:themeColor="accent4" w:themeTint="99"/>
        <w:insideH w:val="single" w:sz="2" w:space="0" w:color="B9DC8C" w:themeColor="accent4" w:themeTint="99"/>
        <w:insideV w:val="single" w:sz="2" w:space="0" w:color="B9DC8C" w:themeColor="accent4" w:themeTint="99"/>
      </w:tblBorders>
    </w:tblPr>
    <w:tblStylePr w:type="firstRow">
      <w:rPr>
        <w:b/>
        <w:bCs/>
      </w:rPr>
      <w:tblPr/>
      <w:tcPr>
        <w:tcBorders>
          <w:top w:val="nil"/>
          <w:bottom w:val="single" w:sz="12" w:space="0" w:color="B9DC8C" w:themeColor="accent4" w:themeTint="99"/>
          <w:insideH w:val="nil"/>
          <w:insideV w:val="nil"/>
        </w:tcBorders>
        <w:shd w:val="clear" w:color="auto" w:fill="FFFFFF" w:themeFill="background1"/>
      </w:tcPr>
    </w:tblStylePr>
    <w:tblStylePr w:type="lastRow">
      <w:rPr>
        <w:b/>
        <w:bCs/>
      </w:rPr>
      <w:tblPr/>
      <w:tcPr>
        <w:tcBorders>
          <w:top w:val="double" w:sz="2" w:space="0" w:color="B9DC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3D8" w:themeFill="accent4" w:themeFillTint="33"/>
      </w:tcPr>
    </w:tblStylePr>
    <w:tblStylePr w:type="band1Horz">
      <w:tblPr/>
      <w:tcPr>
        <w:shd w:val="clear" w:color="auto" w:fill="E7F3D8" w:themeFill="accent4" w:themeFillTint="33"/>
      </w:tcPr>
    </w:tblStylePr>
  </w:style>
  <w:style w:type="table" w:styleId="GridTable2-Accent5">
    <w:name w:val="Grid Table 2 Accent 5"/>
    <w:basedOn w:val="TableNormal"/>
    <w:uiPriority w:val="47"/>
    <w:rsid w:val="00DF0E94"/>
    <w:pPr>
      <w:spacing w:after="0" w:line="240" w:lineRule="auto"/>
    </w:pPr>
    <w:tblPr>
      <w:tblStyleRowBandSize w:val="1"/>
      <w:tblStyleColBandSize w:val="1"/>
      <w:tblBorders>
        <w:top w:val="single" w:sz="2" w:space="0" w:color="F5878C" w:themeColor="accent5" w:themeTint="99"/>
        <w:bottom w:val="single" w:sz="2" w:space="0" w:color="F5878C" w:themeColor="accent5" w:themeTint="99"/>
        <w:insideH w:val="single" w:sz="2" w:space="0" w:color="F5878C" w:themeColor="accent5" w:themeTint="99"/>
        <w:insideV w:val="single" w:sz="2" w:space="0" w:color="F5878C" w:themeColor="accent5" w:themeTint="99"/>
      </w:tblBorders>
    </w:tblPr>
    <w:tblStylePr w:type="firstRow">
      <w:rPr>
        <w:b/>
        <w:bCs/>
      </w:rPr>
      <w:tblPr/>
      <w:tcPr>
        <w:tcBorders>
          <w:top w:val="nil"/>
          <w:bottom w:val="single" w:sz="12" w:space="0" w:color="F5878C" w:themeColor="accent5" w:themeTint="99"/>
          <w:insideH w:val="nil"/>
          <w:insideV w:val="nil"/>
        </w:tcBorders>
        <w:shd w:val="clear" w:color="auto" w:fill="FFFFFF" w:themeFill="background1"/>
      </w:tcPr>
    </w:tblStylePr>
    <w:tblStylePr w:type="lastRow">
      <w:rPr>
        <w:b/>
        <w:bCs/>
      </w:rPr>
      <w:tblPr/>
      <w:tcPr>
        <w:tcBorders>
          <w:top w:val="double" w:sz="2" w:space="0" w:color="F5878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7D8" w:themeFill="accent5" w:themeFillTint="33"/>
      </w:tcPr>
    </w:tblStylePr>
    <w:tblStylePr w:type="band1Horz">
      <w:tblPr/>
      <w:tcPr>
        <w:shd w:val="clear" w:color="auto" w:fill="FBD7D8" w:themeFill="accent5" w:themeFillTint="33"/>
      </w:tcPr>
    </w:tblStylePr>
  </w:style>
  <w:style w:type="table" w:styleId="GridTable2-Accent6">
    <w:name w:val="Grid Table 2 Accent 6"/>
    <w:basedOn w:val="TableNormal"/>
    <w:uiPriority w:val="47"/>
    <w:rsid w:val="00DF0E94"/>
    <w:pPr>
      <w:spacing w:after="0" w:line="240" w:lineRule="auto"/>
    </w:pPr>
    <w:tblPr>
      <w:tblStyleRowBandSize w:val="1"/>
      <w:tblStyleColBandSize w:val="1"/>
      <w:tblBorders>
        <w:top w:val="single" w:sz="2" w:space="0" w:color="FDE967" w:themeColor="accent6" w:themeTint="99"/>
        <w:bottom w:val="single" w:sz="2" w:space="0" w:color="FDE967" w:themeColor="accent6" w:themeTint="99"/>
        <w:insideH w:val="single" w:sz="2" w:space="0" w:color="FDE967" w:themeColor="accent6" w:themeTint="99"/>
        <w:insideV w:val="single" w:sz="2" w:space="0" w:color="FDE967" w:themeColor="accent6" w:themeTint="99"/>
      </w:tblBorders>
    </w:tblPr>
    <w:tblStylePr w:type="firstRow">
      <w:rPr>
        <w:b/>
        <w:bCs/>
      </w:rPr>
      <w:tblPr/>
      <w:tcPr>
        <w:tcBorders>
          <w:top w:val="nil"/>
          <w:bottom w:val="single" w:sz="12" w:space="0" w:color="FDE967" w:themeColor="accent6" w:themeTint="99"/>
          <w:insideH w:val="nil"/>
          <w:insideV w:val="nil"/>
        </w:tcBorders>
        <w:shd w:val="clear" w:color="auto" w:fill="FFFFFF" w:themeFill="background1"/>
      </w:tcPr>
    </w:tblStylePr>
    <w:tblStylePr w:type="lastRow">
      <w:rPr>
        <w:b/>
        <w:bCs/>
      </w:rPr>
      <w:tblPr/>
      <w:tcPr>
        <w:tcBorders>
          <w:top w:val="double" w:sz="2" w:space="0" w:color="FDE96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7CC" w:themeFill="accent6" w:themeFillTint="33"/>
      </w:tcPr>
    </w:tblStylePr>
    <w:tblStylePr w:type="band1Horz">
      <w:tblPr/>
      <w:tcPr>
        <w:shd w:val="clear" w:color="auto" w:fill="FEF7CC" w:themeFill="accent6" w:themeFillTint="33"/>
      </w:tcPr>
    </w:tblStylePr>
  </w:style>
  <w:style w:type="table" w:styleId="GridTable3">
    <w:name w:val="Grid Table 3"/>
    <w:basedOn w:val="TableNormal"/>
    <w:uiPriority w:val="48"/>
    <w:rsid w:val="00DF0E9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F0E94"/>
    <w:pPr>
      <w:spacing w:after="0" w:line="240" w:lineRule="auto"/>
    </w:pPr>
    <w:tblPr>
      <w:tblStyleRowBandSize w:val="1"/>
      <w:tblStyleColBandSize w:val="1"/>
      <w:tblBorders>
        <w:top w:val="single" w:sz="4" w:space="0" w:color="FDD074" w:themeColor="accent1" w:themeTint="99"/>
        <w:left w:val="single" w:sz="4" w:space="0" w:color="FDD074" w:themeColor="accent1" w:themeTint="99"/>
        <w:bottom w:val="single" w:sz="4" w:space="0" w:color="FDD074" w:themeColor="accent1" w:themeTint="99"/>
        <w:right w:val="single" w:sz="4" w:space="0" w:color="FDD074" w:themeColor="accent1" w:themeTint="99"/>
        <w:insideH w:val="single" w:sz="4" w:space="0" w:color="FDD074" w:themeColor="accent1" w:themeTint="99"/>
        <w:insideV w:val="single" w:sz="4" w:space="0" w:color="FDD07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FD0" w:themeFill="accent1" w:themeFillTint="33"/>
      </w:tcPr>
    </w:tblStylePr>
    <w:tblStylePr w:type="band1Horz">
      <w:tblPr/>
      <w:tcPr>
        <w:shd w:val="clear" w:color="auto" w:fill="FEEFD0" w:themeFill="accent1" w:themeFillTint="33"/>
      </w:tcPr>
    </w:tblStylePr>
    <w:tblStylePr w:type="neCell">
      <w:tblPr/>
      <w:tcPr>
        <w:tcBorders>
          <w:bottom w:val="single" w:sz="4" w:space="0" w:color="FDD074" w:themeColor="accent1" w:themeTint="99"/>
        </w:tcBorders>
      </w:tcPr>
    </w:tblStylePr>
    <w:tblStylePr w:type="nwCell">
      <w:tblPr/>
      <w:tcPr>
        <w:tcBorders>
          <w:bottom w:val="single" w:sz="4" w:space="0" w:color="FDD074" w:themeColor="accent1" w:themeTint="99"/>
        </w:tcBorders>
      </w:tcPr>
    </w:tblStylePr>
    <w:tblStylePr w:type="seCell">
      <w:tblPr/>
      <w:tcPr>
        <w:tcBorders>
          <w:top w:val="single" w:sz="4" w:space="0" w:color="FDD074" w:themeColor="accent1" w:themeTint="99"/>
        </w:tcBorders>
      </w:tcPr>
    </w:tblStylePr>
    <w:tblStylePr w:type="swCell">
      <w:tblPr/>
      <w:tcPr>
        <w:tcBorders>
          <w:top w:val="single" w:sz="4" w:space="0" w:color="FDD074" w:themeColor="accent1" w:themeTint="99"/>
        </w:tcBorders>
      </w:tcPr>
    </w:tblStylePr>
  </w:style>
  <w:style w:type="table" w:styleId="GridTable3-Accent2">
    <w:name w:val="Grid Table 3 Accent 2"/>
    <w:basedOn w:val="TableNormal"/>
    <w:uiPriority w:val="48"/>
    <w:rsid w:val="00DF0E94"/>
    <w:pPr>
      <w:spacing w:after="0" w:line="240" w:lineRule="auto"/>
    </w:pPr>
    <w:tblPr>
      <w:tblStyleRowBandSize w:val="1"/>
      <w:tblStyleColBandSize w:val="1"/>
      <w:tblBorders>
        <w:top w:val="single" w:sz="4" w:space="0" w:color="F669B9" w:themeColor="accent2" w:themeTint="99"/>
        <w:left w:val="single" w:sz="4" w:space="0" w:color="F669B9" w:themeColor="accent2" w:themeTint="99"/>
        <w:bottom w:val="single" w:sz="4" w:space="0" w:color="F669B9" w:themeColor="accent2" w:themeTint="99"/>
        <w:right w:val="single" w:sz="4" w:space="0" w:color="F669B9" w:themeColor="accent2" w:themeTint="99"/>
        <w:insideH w:val="single" w:sz="4" w:space="0" w:color="F669B9" w:themeColor="accent2" w:themeTint="99"/>
        <w:insideV w:val="single" w:sz="4" w:space="0" w:color="F669B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CDE7" w:themeFill="accent2" w:themeFillTint="33"/>
      </w:tcPr>
    </w:tblStylePr>
    <w:tblStylePr w:type="band1Horz">
      <w:tblPr/>
      <w:tcPr>
        <w:shd w:val="clear" w:color="auto" w:fill="FCCDE7" w:themeFill="accent2" w:themeFillTint="33"/>
      </w:tcPr>
    </w:tblStylePr>
    <w:tblStylePr w:type="neCell">
      <w:tblPr/>
      <w:tcPr>
        <w:tcBorders>
          <w:bottom w:val="single" w:sz="4" w:space="0" w:color="F669B9" w:themeColor="accent2" w:themeTint="99"/>
        </w:tcBorders>
      </w:tcPr>
    </w:tblStylePr>
    <w:tblStylePr w:type="nwCell">
      <w:tblPr/>
      <w:tcPr>
        <w:tcBorders>
          <w:bottom w:val="single" w:sz="4" w:space="0" w:color="F669B9" w:themeColor="accent2" w:themeTint="99"/>
        </w:tcBorders>
      </w:tcPr>
    </w:tblStylePr>
    <w:tblStylePr w:type="seCell">
      <w:tblPr/>
      <w:tcPr>
        <w:tcBorders>
          <w:top w:val="single" w:sz="4" w:space="0" w:color="F669B9" w:themeColor="accent2" w:themeTint="99"/>
        </w:tcBorders>
      </w:tcPr>
    </w:tblStylePr>
    <w:tblStylePr w:type="swCell">
      <w:tblPr/>
      <w:tcPr>
        <w:tcBorders>
          <w:top w:val="single" w:sz="4" w:space="0" w:color="F669B9" w:themeColor="accent2" w:themeTint="99"/>
        </w:tcBorders>
      </w:tcPr>
    </w:tblStylePr>
  </w:style>
  <w:style w:type="table" w:styleId="GridTable3-Accent3">
    <w:name w:val="Grid Table 3 Accent 3"/>
    <w:basedOn w:val="TableNormal"/>
    <w:uiPriority w:val="48"/>
    <w:rsid w:val="00DF0E94"/>
    <w:pPr>
      <w:spacing w:after="0" w:line="240" w:lineRule="auto"/>
    </w:pPr>
    <w:tblPr>
      <w:tblStyleRowBandSize w:val="1"/>
      <w:tblStyleColBandSize w:val="1"/>
      <w:tblBorders>
        <w:top w:val="single" w:sz="4" w:space="0" w:color="55DAFF" w:themeColor="accent3" w:themeTint="99"/>
        <w:left w:val="single" w:sz="4" w:space="0" w:color="55DAFF" w:themeColor="accent3" w:themeTint="99"/>
        <w:bottom w:val="single" w:sz="4" w:space="0" w:color="55DAFF" w:themeColor="accent3" w:themeTint="99"/>
        <w:right w:val="single" w:sz="4" w:space="0" w:color="55DAFF" w:themeColor="accent3" w:themeTint="99"/>
        <w:insideH w:val="single" w:sz="4" w:space="0" w:color="55DAFF" w:themeColor="accent3" w:themeTint="99"/>
        <w:insideV w:val="single" w:sz="4" w:space="0" w:color="55DA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2FF" w:themeFill="accent3" w:themeFillTint="33"/>
      </w:tcPr>
    </w:tblStylePr>
    <w:tblStylePr w:type="band1Horz">
      <w:tblPr/>
      <w:tcPr>
        <w:shd w:val="clear" w:color="auto" w:fill="C6F2FF" w:themeFill="accent3" w:themeFillTint="33"/>
      </w:tcPr>
    </w:tblStylePr>
    <w:tblStylePr w:type="neCell">
      <w:tblPr/>
      <w:tcPr>
        <w:tcBorders>
          <w:bottom w:val="single" w:sz="4" w:space="0" w:color="55DAFF" w:themeColor="accent3" w:themeTint="99"/>
        </w:tcBorders>
      </w:tcPr>
    </w:tblStylePr>
    <w:tblStylePr w:type="nwCell">
      <w:tblPr/>
      <w:tcPr>
        <w:tcBorders>
          <w:bottom w:val="single" w:sz="4" w:space="0" w:color="55DAFF" w:themeColor="accent3" w:themeTint="99"/>
        </w:tcBorders>
      </w:tcPr>
    </w:tblStylePr>
    <w:tblStylePr w:type="seCell">
      <w:tblPr/>
      <w:tcPr>
        <w:tcBorders>
          <w:top w:val="single" w:sz="4" w:space="0" w:color="55DAFF" w:themeColor="accent3" w:themeTint="99"/>
        </w:tcBorders>
      </w:tcPr>
    </w:tblStylePr>
    <w:tblStylePr w:type="swCell">
      <w:tblPr/>
      <w:tcPr>
        <w:tcBorders>
          <w:top w:val="single" w:sz="4" w:space="0" w:color="55DAFF" w:themeColor="accent3" w:themeTint="99"/>
        </w:tcBorders>
      </w:tcPr>
    </w:tblStylePr>
  </w:style>
  <w:style w:type="table" w:styleId="GridTable3-Accent4">
    <w:name w:val="Grid Table 3 Accent 4"/>
    <w:basedOn w:val="TableNormal"/>
    <w:uiPriority w:val="48"/>
    <w:rsid w:val="00DF0E94"/>
    <w:pPr>
      <w:spacing w:after="0" w:line="240" w:lineRule="auto"/>
    </w:pPr>
    <w:tblPr>
      <w:tblStyleRowBandSize w:val="1"/>
      <w:tblStyleColBandSize w:val="1"/>
      <w:tblBorders>
        <w:top w:val="single" w:sz="4" w:space="0" w:color="B9DC8C" w:themeColor="accent4" w:themeTint="99"/>
        <w:left w:val="single" w:sz="4" w:space="0" w:color="B9DC8C" w:themeColor="accent4" w:themeTint="99"/>
        <w:bottom w:val="single" w:sz="4" w:space="0" w:color="B9DC8C" w:themeColor="accent4" w:themeTint="99"/>
        <w:right w:val="single" w:sz="4" w:space="0" w:color="B9DC8C" w:themeColor="accent4" w:themeTint="99"/>
        <w:insideH w:val="single" w:sz="4" w:space="0" w:color="B9DC8C" w:themeColor="accent4" w:themeTint="99"/>
        <w:insideV w:val="single" w:sz="4" w:space="0" w:color="B9DC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3D8" w:themeFill="accent4" w:themeFillTint="33"/>
      </w:tcPr>
    </w:tblStylePr>
    <w:tblStylePr w:type="band1Horz">
      <w:tblPr/>
      <w:tcPr>
        <w:shd w:val="clear" w:color="auto" w:fill="E7F3D8" w:themeFill="accent4" w:themeFillTint="33"/>
      </w:tcPr>
    </w:tblStylePr>
    <w:tblStylePr w:type="neCell">
      <w:tblPr/>
      <w:tcPr>
        <w:tcBorders>
          <w:bottom w:val="single" w:sz="4" w:space="0" w:color="B9DC8C" w:themeColor="accent4" w:themeTint="99"/>
        </w:tcBorders>
      </w:tcPr>
    </w:tblStylePr>
    <w:tblStylePr w:type="nwCell">
      <w:tblPr/>
      <w:tcPr>
        <w:tcBorders>
          <w:bottom w:val="single" w:sz="4" w:space="0" w:color="B9DC8C" w:themeColor="accent4" w:themeTint="99"/>
        </w:tcBorders>
      </w:tcPr>
    </w:tblStylePr>
    <w:tblStylePr w:type="seCell">
      <w:tblPr/>
      <w:tcPr>
        <w:tcBorders>
          <w:top w:val="single" w:sz="4" w:space="0" w:color="B9DC8C" w:themeColor="accent4" w:themeTint="99"/>
        </w:tcBorders>
      </w:tcPr>
    </w:tblStylePr>
    <w:tblStylePr w:type="swCell">
      <w:tblPr/>
      <w:tcPr>
        <w:tcBorders>
          <w:top w:val="single" w:sz="4" w:space="0" w:color="B9DC8C" w:themeColor="accent4" w:themeTint="99"/>
        </w:tcBorders>
      </w:tcPr>
    </w:tblStylePr>
  </w:style>
  <w:style w:type="table" w:styleId="GridTable3-Accent5">
    <w:name w:val="Grid Table 3 Accent 5"/>
    <w:basedOn w:val="TableNormal"/>
    <w:uiPriority w:val="48"/>
    <w:rsid w:val="00DF0E94"/>
    <w:pPr>
      <w:spacing w:after="0" w:line="240" w:lineRule="auto"/>
    </w:pPr>
    <w:tblPr>
      <w:tblStyleRowBandSize w:val="1"/>
      <w:tblStyleColBandSize w:val="1"/>
      <w:tblBorders>
        <w:top w:val="single" w:sz="4" w:space="0" w:color="F5878C" w:themeColor="accent5" w:themeTint="99"/>
        <w:left w:val="single" w:sz="4" w:space="0" w:color="F5878C" w:themeColor="accent5" w:themeTint="99"/>
        <w:bottom w:val="single" w:sz="4" w:space="0" w:color="F5878C" w:themeColor="accent5" w:themeTint="99"/>
        <w:right w:val="single" w:sz="4" w:space="0" w:color="F5878C" w:themeColor="accent5" w:themeTint="99"/>
        <w:insideH w:val="single" w:sz="4" w:space="0" w:color="F5878C" w:themeColor="accent5" w:themeTint="99"/>
        <w:insideV w:val="single" w:sz="4" w:space="0" w:color="F5878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7D8" w:themeFill="accent5" w:themeFillTint="33"/>
      </w:tcPr>
    </w:tblStylePr>
    <w:tblStylePr w:type="band1Horz">
      <w:tblPr/>
      <w:tcPr>
        <w:shd w:val="clear" w:color="auto" w:fill="FBD7D8" w:themeFill="accent5" w:themeFillTint="33"/>
      </w:tcPr>
    </w:tblStylePr>
    <w:tblStylePr w:type="neCell">
      <w:tblPr/>
      <w:tcPr>
        <w:tcBorders>
          <w:bottom w:val="single" w:sz="4" w:space="0" w:color="F5878C" w:themeColor="accent5" w:themeTint="99"/>
        </w:tcBorders>
      </w:tcPr>
    </w:tblStylePr>
    <w:tblStylePr w:type="nwCell">
      <w:tblPr/>
      <w:tcPr>
        <w:tcBorders>
          <w:bottom w:val="single" w:sz="4" w:space="0" w:color="F5878C" w:themeColor="accent5" w:themeTint="99"/>
        </w:tcBorders>
      </w:tcPr>
    </w:tblStylePr>
    <w:tblStylePr w:type="seCell">
      <w:tblPr/>
      <w:tcPr>
        <w:tcBorders>
          <w:top w:val="single" w:sz="4" w:space="0" w:color="F5878C" w:themeColor="accent5" w:themeTint="99"/>
        </w:tcBorders>
      </w:tcPr>
    </w:tblStylePr>
    <w:tblStylePr w:type="swCell">
      <w:tblPr/>
      <w:tcPr>
        <w:tcBorders>
          <w:top w:val="single" w:sz="4" w:space="0" w:color="F5878C" w:themeColor="accent5" w:themeTint="99"/>
        </w:tcBorders>
      </w:tcPr>
    </w:tblStylePr>
  </w:style>
  <w:style w:type="table" w:styleId="GridTable3-Accent6">
    <w:name w:val="Grid Table 3 Accent 6"/>
    <w:basedOn w:val="TableNormal"/>
    <w:uiPriority w:val="48"/>
    <w:rsid w:val="00DF0E94"/>
    <w:pPr>
      <w:spacing w:after="0" w:line="240" w:lineRule="auto"/>
    </w:pPr>
    <w:tblPr>
      <w:tblStyleRowBandSize w:val="1"/>
      <w:tblStyleColBandSize w:val="1"/>
      <w:tblBorders>
        <w:top w:val="single" w:sz="4" w:space="0" w:color="FDE967" w:themeColor="accent6" w:themeTint="99"/>
        <w:left w:val="single" w:sz="4" w:space="0" w:color="FDE967" w:themeColor="accent6" w:themeTint="99"/>
        <w:bottom w:val="single" w:sz="4" w:space="0" w:color="FDE967" w:themeColor="accent6" w:themeTint="99"/>
        <w:right w:val="single" w:sz="4" w:space="0" w:color="FDE967" w:themeColor="accent6" w:themeTint="99"/>
        <w:insideH w:val="single" w:sz="4" w:space="0" w:color="FDE967" w:themeColor="accent6" w:themeTint="99"/>
        <w:insideV w:val="single" w:sz="4" w:space="0" w:color="FDE96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6" w:themeFillTint="33"/>
      </w:tcPr>
    </w:tblStylePr>
    <w:tblStylePr w:type="band1Horz">
      <w:tblPr/>
      <w:tcPr>
        <w:shd w:val="clear" w:color="auto" w:fill="FEF7CC" w:themeFill="accent6" w:themeFillTint="33"/>
      </w:tcPr>
    </w:tblStylePr>
    <w:tblStylePr w:type="neCell">
      <w:tblPr/>
      <w:tcPr>
        <w:tcBorders>
          <w:bottom w:val="single" w:sz="4" w:space="0" w:color="FDE967" w:themeColor="accent6" w:themeTint="99"/>
        </w:tcBorders>
      </w:tcPr>
    </w:tblStylePr>
    <w:tblStylePr w:type="nwCell">
      <w:tblPr/>
      <w:tcPr>
        <w:tcBorders>
          <w:bottom w:val="single" w:sz="4" w:space="0" w:color="FDE967" w:themeColor="accent6" w:themeTint="99"/>
        </w:tcBorders>
      </w:tcPr>
    </w:tblStylePr>
    <w:tblStylePr w:type="seCell">
      <w:tblPr/>
      <w:tcPr>
        <w:tcBorders>
          <w:top w:val="single" w:sz="4" w:space="0" w:color="FDE967" w:themeColor="accent6" w:themeTint="99"/>
        </w:tcBorders>
      </w:tcPr>
    </w:tblStylePr>
    <w:tblStylePr w:type="swCell">
      <w:tblPr/>
      <w:tcPr>
        <w:tcBorders>
          <w:top w:val="single" w:sz="4" w:space="0" w:color="FDE967" w:themeColor="accent6" w:themeTint="99"/>
        </w:tcBorders>
      </w:tcPr>
    </w:tblStylePr>
  </w:style>
  <w:style w:type="table" w:styleId="GridTable4">
    <w:name w:val="Grid Table 4"/>
    <w:basedOn w:val="TableNormal"/>
    <w:uiPriority w:val="49"/>
    <w:rsid w:val="00DF0E9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F0E94"/>
    <w:pPr>
      <w:spacing w:after="0" w:line="240" w:lineRule="auto"/>
    </w:pPr>
    <w:tblPr>
      <w:tblStyleRowBandSize w:val="1"/>
      <w:tblStyleColBandSize w:val="1"/>
      <w:tblBorders>
        <w:top w:val="single" w:sz="4" w:space="0" w:color="FDD074" w:themeColor="accent1" w:themeTint="99"/>
        <w:left w:val="single" w:sz="4" w:space="0" w:color="FDD074" w:themeColor="accent1" w:themeTint="99"/>
        <w:bottom w:val="single" w:sz="4" w:space="0" w:color="FDD074" w:themeColor="accent1" w:themeTint="99"/>
        <w:right w:val="single" w:sz="4" w:space="0" w:color="FDD074" w:themeColor="accent1" w:themeTint="99"/>
        <w:insideH w:val="single" w:sz="4" w:space="0" w:color="FDD074" w:themeColor="accent1" w:themeTint="99"/>
        <w:insideV w:val="single" w:sz="4" w:space="0" w:color="FDD074" w:themeColor="accent1" w:themeTint="99"/>
      </w:tblBorders>
    </w:tblPr>
    <w:tblStylePr w:type="firstRow">
      <w:rPr>
        <w:b/>
        <w:bCs/>
        <w:color w:val="FFFFFF" w:themeColor="background1"/>
      </w:rPr>
      <w:tblPr/>
      <w:tcPr>
        <w:tcBorders>
          <w:top w:val="single" w:sz="4" w:space="0" w:color="FCB319" w:themeColor="accent1"/>
          <w:left w:val="single" w:sz="4" w:space="0" w:color="FCB319" w:themeColor="accent1"/>
          <w:bottom w:val="single" w:sz="4" w:space="0" w:color="FCB319" w:themeColor="accent1"/>
          <w:right w:val="single" w:sz="4" w:space="0" w:color="FCB319" w:themeColor="accent1"/>
          <w:insideH w:val="nil"/>
          <w:insideV w:val="nil"/>
        </w:tcBorders>
        <w:shd w:val="clear" w:color="auto" w:fill="FCB319" w:themeFill="accent1"/>
      </w:tcPr>
    </w:tblStylePr>
    <w:tblStylePr w:type="lastRow">
      <w:rPr>
        <w:b/>
        <w:bCs/>
      </w:rPr>
      <w:tblPr/>
      <w:tcPr>
        <w:tcBorders>
          <w:top w:val="double" w:sz="4" w:space="0" w:color="FCB319" w:themeColor="accent1"/>
        </w:tcBorders>
      </w:tcPr>
    </w:tblStylePr>
    <w:tblStylePr w:type="firstCol">
      <w:rPr>
        <w:b/>
        <w:bCs/>
      </w:rPr>
    </w:tblStylePr>
    <w:tblStylePr w:type="lastCol">
      <w:rPr>
        <w:b/>
        <w:bCs/>
      </w:rPr>
    </w:tblStylePr>
    <w:tblStylePr w:type="band1Vert">
      <w:tblPr/>
      <w:tcPr>
        <w:shd w:val="clear" w:color="auto" w:fill="FEEFD0" w:themeFill="accent1" w:themeFillTint="33"/>
      </w:tcPr>
    </w:tblStylePr>
    <w:tblStylePr w:type="band1Horz">
      <w:tblPr/>
      <w:tcPr>
        <w:shd w:val="clear" w:color="auto" w:fill="FEEFD0" w:themeFill="accent1" w:themeFillTint="33"/>
      </w:tcPr>
    </w:tblStylePr>
  </w:style>
  <w:style w:type="table" w:styleId="GridTable4-Accent2">
    <w:name w:val="Grid Table 4 Accent 2"/>
    <w:basedOn w:val="TableNormal"/>
    <w:uiPriority w:val="49"/>
    <w:rsid w:val="00DF0E94"/>
    <w:pPr>
      <w:spacing w:after="0" w:line="240" w:lineRule="auto"/>
    </w:pPr>
    <w:tblPr>
      <w:tblStyleRowBandSize w:val="1"/>
      <w:tblStyleColBandSize w:val="1"/>
      <w:tblBorders>
        <w:top w:val="single" w:sz="4" w:space="0" w:color="F669B9" w:themeColor="accent2" w:themeTint="99"/>
        <w:left w:val="single" w:sz="4" w:space="0" w:color="F669B9" w:themeColor="accent2" w:themeTint="99"/>
        <w:bottom w:val="single" w:sz="4" w:space="0" w:color="F669B9" w:themeColor="accent2" w:themeTint="99"/>
        <w:right w:val="single" w:sz="4" w:space="0" w:color="F669B9" w:themeColor="accent2" w:themeTint="99"/>
        <w:insideH w:val="single" w:sz="4" w:space="0" w:color="F669B9" w:themeColor="accent2" w:themeTint="99"/>
        <w:insideV w:val="single" w:sz="4" w:space="0" w:color="F669B9" w:themeColor="accent2" w:themeTint="99"/>
      </w:tblBorders>
    </w:tblPr>
    <w:tblStylePr w:type="firstRow">
      <w:rPr>
        <w:b/>
        <w:bCs/>
        <w:color w:val="FFFFFF" w:themeColor="background1"/>
      </w:rPr>
      <w:tblPr/>
      <w:tcPr>
        <w:tcBorders>
          <w:top w:val="single" w:sz="4" w:space="0" w:color="E70E8A" w:themeColor="accent2"/>
          <w:left w:val="single" w:sz="4" w:space="0" w:color="E70E8A" w:themeColor="accent2"/>
          <w:bottom w:val="single" w:sz="4" w:space="0" w:color="E70E8A" w:themeColor="accent2"/>
          <w:right w:val="single" w:sz="4" w:space="0" w:color="E70E8A" w:themeColor="accent2"/>
          <w:insideH w:val="nil"/>
          <w:insideV w:val="nil"/>
        </w:tcBorders>
        <w:shd w:val="clear" w:color="auto" w:fill="E70E8A" w:themeFill="accent2"/>
      </w:tcPr>
    </w:tblStylePr>
    <w:tblStylePr w:type="lastRow">
      <w:rPr>
        <w:b/>
        <w:bCs/>
      </w:rPr>
      <w:tblPr/>
      <w:tcPr>
        <w:tcBorders>
          <w:top w:val="double" w:sz="4" w:space="0" w:color="E70E8A" w:themeColor="accent2"/>
        </w:tcBorders>
      </w:tcPr>
    </w:tblStylePr>
    <w:tblStylePr w:type="firstCol">
      <w:rPr>
        <w:b/>
        <w:bCs/>
      </w:rPr>
    </w:tblStylePr>
    <w:tblStylePr w:type="lastCol">
      <w:rPr>
        <w:b/>
        <w:bCs/>
      </w:rPr>
    </w:tblStylePr>
    <w:tblStylePr w:type="band1Vert">
      <w:tblPr/>
      <w:tcPr>
        <w:shd w:val="clear" w:color="auto" w:fill="FCCDE7" w:themeFill="accent2" w:themeFillTint="33"/>
      </w:tcPr>
    </w:tblStylePr>
    <w:tblStylePr w:type="band1Horz">
      <w:tblPr/>
      <w:tcPr>
        <w:shd w:val="clear" w:color="auto" w:fill="FCCDE7" w:themeFill="accent2" w:themeFillTint="33"/>
      </w:tcPr>
    </w:tblStylePr>
  </w:style>
  <w:style w:type="table" w:styleId="GridTable4-Accent3">
    <w:name w:val="Grid Table 4 Accent 3"/>
    <w:basedOn w:val="TableNormal"/>
    <w:uiPriority w:val="49"/>
    <w:rsid w:val="00DF0E94"/>
    <w:pPr>
      <w:spacing w:after="0" w:line="240" w:lineRule="auto"/>
    </w:pPr>
    <w:tblPr>
      <w:tblStyleRowBandSize w:val="1"/>
      <w:tblStyleColBandSize w:val="1"/>
      <w:tblBorders>
        <w:top w:val="single" w:sz="4" w:space="0" w:color="55DAFF" w:themeColor="accent3" w:themeTint="99"/>
        <w:left w:val="single" w:sz="4" w:space="0" w:color="55DAFF" w:themeColor="accent3" w:themeTint="99"/>
        <w:bottom w:val="single" w:sz="4" w:space="0" w:color="55DAFF" w:themeColor="accent3" w:themeTint="99"/>
        <w:right w:val="single" w:sz="4" w:space="0" w:color="55DAFF" w:themeColor="accent3" w:themeTint="99"/>
        <w:insideH w:val="single" w:sz="4" w:space="0" w:color="55DAFF" w:themeColor="accent3" w:themeTint="99"/>
        <w:insideV w:val="single" w:sz="4" w:space="0" w:color="55DAFF" w:themeColor="accent3" w:themeTint="99"/>
      </w:tblBorders>
    </w:tblPr>
    <w:tblStylePr w:type="firstRow">
      <w:rPr>
        <w:b/>
        <w:bCs/>
        <w:color w:val="FFFFFF" w:themeColor="background1"/>
      </w:rPr>
      <w:tblPr/>
      <w:tcPr>
        <w:tcBorders>
          <w:top w:val="single" w:sz="4" w:space="0" w:color="00B3E4" w:themeColor="accent3"/>
          <w:left w:val="single" w:sz="4" w:space="0" w:color="00B3E4" w:themeColor="accent3"/>
          <w:bottom w:val="single" w:sz="4" w:space="0" w:color="00B3E4" w:themeColor="accent3"/>
          <w:right w:val="single" w:sz="4" w:space="0" w:color="00B3E4" w:themeColor="accent3"/>
          <w:insideH w:val="nil"/>
          <w:insideV w:val="nil"/>
        </w:tcBorders>
        <w:shd w:val="clear" w:color="auto" w:fill="00B3E4" w:themeFill="accent3"/>
      </w:tcPr>
    </w:tblStylePr>
    <w:tblStylePr w:type="lastRow">
      <w:rPr>
        <w:b/>
        <w:bCs/>
      </w:rPr>
      <w:tblPr/>
      <w:tcPr>
        <w:tcBorders>
          <w:top w:val="double" w:sz="4" w:space="0" w:color="00B3E4" w:themeColor="accent3"/>
        </w:tcBorders>
      </w:tcPr>
    </w:tblStylePr>
    <w:tblStylePr w:type="firstCol">
      <w:rPr>
        <w:b/>
        <w:bCs/>
      </w:rPr>
    </w:tblStylePr>
    <w:tblStylePr w:type="lastCol">
      <w:rPr>
        <w:b/>
        <w:bCs/>
      </w:rPr>
    </w:tblStylePr>
    <w:tblStylePr w:type="band1Vert">
      <w:tblPr/>
      <w:tcPr>
        <w:shd w:val="clear" w:color="auto" w:fill="C6F2FF" w:themeFill="accent3" w:themeFillTint="33"/>
      </w:tcPr>
    </w:tblStylePr>
    <w:tblStylePr w:type="band1Horz">
      <w:tblPr/>
      <w:tcPr>
        <w:shd w:val="clear" w:color="auto" w:fill="C6F2FF" w:themeFill="accent3" w:themeFillTint="33"/>
      </w:tcPr>
    </w:tblStylePr>
  </w:style>
  <w:style w:type="table" w:styleId="GridTable4-Accent4">
    <w:name w:val="Grid Table 4 Accent 4"/>
    <w:basedOn w:val="TableNormal"/>
    <w:uiPriority w:val="49"/>
    <w:rsid w:val="00DF0E94"/>
    <w:pPr>
      <w:spacing w:after="0" w:line="240" w:lineRule="auto"/>
    </w:pPr>
    <w:tblPr>
      <w:tblStyleRowBandSize w:val="1"/>
      <w:tblStyleColBandSize w:val="1"/>
      <w:tblBorders>
        <w:top w:val="single" w:sz="4" w:space="0" w:color="B9DC8C" w:themeColor="accent4" w:themeTint="99"/>
        <w:left w:val="single" w:sz="4" w:space="0" w:color="B9DC8C" w:themeColor="accent4" w:themeTint="99"/>
        <w:bottom w:val="single" w:sz="4" w:space="0" w:color="B9DC8C" w:themeColor="accent4" w:themeTint="99"/>
        <w:right w:val="single" w:sz="4" w:space="0" w:color="B9DC8C" w:themeColor="accent4" w:themeTint="99"/>
        <w:insideH w:val="single" w:sz="4" w:space="0" w:color="B9DC8C" w:themeColor="accent4" w:themeTint="99"/>
        <w:insideV w:val="single" w:sz="4" w:space="0" w:color="B9DC8C" w:themeColor="accent4" w:themeTint="99"/>
      </w:tblBorders>
    </w:tblPr>
    <w:tblStylePr w:type="firstRow">
      <w:rPr>
        <w:b/>
        <w:bCs/>
        <w:color w:val="FFFFFF" w:themeColor="background1"/>
      </w:rPr>
      <w:tblPr/>
      <w:tcPr>
        <w:tcBorders>
          <w:top w:val="single" w:sz="4" w:space="0" w:color="8BC640" w:themeColor="accent4"/>
          <w:left w:val="single" w:sz="4" w:space="0" w:color="8BC640" w:themeColor="accent4"/>
          <w:bottom w:val="single" w:sz="4" w:space="0" w:color="8BC640" w:themeColor="accent4"/>
          <w:right w:val="single" w:sz="4" w:space="0" w:color="8BC640" w:themeColor="accent4"/>
          <w:insideH w:val="nil"/>
          <w:insideV w:val="nil"/>
        </w:tcBorders>
        <w:shd w:val="clear" w:color="auto" w:fill="8BC640" w:themeFill="accent4"/>
      </w:tcPr>
    </w:tblStylePr>
    <w:tblStylePr w:type="lastRow">
      <w:rPr>
        <w:b/>
        <w:bCs/>
      </w:rPr>
      <w:tblPr/>
      <w:tcPr>
        <w:tcBorders>
          <w:top w:val="double" w:sz="4" w:space="0" w:color="8BC640" w:themeColor="accent4"/>
        </w:tcBorders>
      </w:tcPr>
    </w:tblStylePr>
    <w:tblStylePr w:type="firstCol">
      <w:rPr>
        <w:b/>
        <w:bCs/>
      </w:rPr>
    </w:tblStylePr>
    <w:tblStylePr w:type="lastCol">
      <w:rPr>
        <w:b/>
        <w:bCs/>
      </w:rPr>
    </w:tblStylePr>
    <w:tblStylePr w:type="band1Vert">
      <w:tblPr/>
      <w:tcPr>
        <w:shd w:val="clear" w:color="auto" w:fill="E7F3D8" w:themeFill="accent4" w:themeFillTint="33"/>
      </w:tcPr>
    </w:tblStylePr>
    <w:tblStylePr w:type="band1Horz">
      <w:tblPr/>
      <w:tcPr>
        <w:shd w:val="clear" w:color="auto" w:fill="E7F3D8" w:themeFill="accent4" w:themeFillTint="33"/>
      </w:tcPr>
    </w:tblStylePr>
  </w:style>
  <w:style w:type="table" w:styleId="GridTable4-Accent5">
    <w:name w:val="Grid Table 4 Accent 5"/>
    <w:basedOn w:val="TableNormal"/>
    <w:uiPriority w:val="49"/>
    <w:rsid w:val="00DF0E94"/>
    <w:pPr>
      <w:spacing w:after="0" w:line="240" w:lineRule="auto"/>
    </w:pPr>
    <w:tblPr>
      <w:tblStyleRowBandSize w:val="1"/>
      <w:tblStyleColBandSize w:val="1"/>
      <w:tblBorders>
        <w:top w:val="single" w:sz="4" w:space="0" w:color="F5878C" w:themeColor="accent5" w:themeTint="99"/>
        <w:left w:val="single" w:sz="4" w:space="0" w:color="F5878C" w:themeColor="accent5" w:themeTint="99"/>
        <w:bottom w:val="single" w:sz="4" w:space="0" w:color="F5878C" w:themeColor="accent5" w:themeTint="99"/>
        <w:right w:val="single" w:sz="4" w:space="0" w:color="F5878C" w:themeColor="accent5" w:themeTint="99"/>
        <w:insideH w:val="single" w:sz="4" w:space="0" w:color="F5878C" w:themeColor="accent5" w:themeTint="99"/>
        <w:insideV w:val="single" w:sz="4" w:space="0" w:color="F5878C" w:themeColor="accent5" w:themeTint="99"/>
      </w:tblBorders>
    </w:tblPr>
    <w:tblStylePr w:type="firstRow">
      <w:rPr>
        <w:b/>
        <w:bCs/>
        <w:color w:val="FFFFFF" w:themeColor="background1"/>
      </w:rPr>
      <w:tblPr/>
      <w:tcPr>
        <w:tcBorders>
          <w:top w:val="single" w:sz="4" w:space="0" w:color="EF3942" w:themeColor="accent5"/>
          <w:left w:val="single" w:sz="4" w:space="0" w:color="EF3942" w:themeColor="accent5"/>
          <w:bottom w:val="single" w:sz="4" w:space="0" w:color="EF3942" w:themeColor="accent5"/>
          <w:right w:val="single" w:sz="4" w:space="0" w:color="EF3942" w:themeColor="accent5"/>
          <w:insideH w:val="nil"/>
          <w:insideV w:val="nil"/>
        </w:tcBorders>
        <w:shd w:val="clear" w:color="auto" w:fill="EF3942" w:themeFill="accent5"/>
      </w:tcPr>
    </w:tblStylePr>
    <w:tblStylePr w:type="lastRow">
      <w:rPr>
        <w:b/>
        <w:bCs/>
      </w:rPr>
      <w:tblPr/>
      <w:tcPr>
        <w:tcBorders>
          <w:top w:val="double" w:sz="4" w:space="0" w:color="EF3942" w:themeColor="accent5"/>
        </w:tcBorders>
      </w:tcPr>
    </w:tblStylePr>
    <w:tblStylePr w:type="firstCol">
      <w:rPr>
        <w:b/>
        <w:bCs/>
      </w:rPr>
    </w:tblStylePr>
    <w:tblStylePr w:type="lastCol">
      <w:rPr>
        <w:b/>
        <w:bCs/>
      </w:rPr>
    </w:tblStylePr>
    <w:tblStylePr w:type="band1Vert">
      <w:tblPr/>
      <w:tcPr>
        <w:shd w:val="clear" w:color="auto" w:fill="FBD7D8" w:themeFill="accent5" w:themeFillTint="33"/>
      </w:tcPr>
    </w:tblStylePr>
    <w:tblStylePr w:type="band1Horz">
      <w:tblPr/>
      <w:tcPr>
        <w:shd w:val="clear" w:color="auto" w:fill="FBD7D8" w:themeFill="accent5" w:themeFillTint="33"/>
      </w:tcPr>
    </w:tblStylePr>
  </w:style>
  <w:style w:type="table" w:styleId="GridTable4-Accent6">
    <w:name w:val="Grid Table 4 Accent 6"/>
    <w:basedOn w:val="TableNormal"/>
    <w:uiPriority w:val="49"/>
    <w:rsid w:val="00DF0E94"/>
    <w:pPr>
      <w:spacing w:after="0" w:line="240" w:lineRule="auto"/>
    </w:pPr>
    <w:tblPr>
      <w:tblStyleRowBandSize w:val="1"/>
      <w:tblStyleColBandSize w:val="1"/>
      <w:tblBorders>
        <w:top w:val="single" w:sz="4" w:space="0" w:color="FDE967" w:themeColor="accent6" w:themeTint="99"/>
        <w:left w:val="single" w:sz="4" w:space="0" w:color="FDE967" w:themeColor="accent6" w:themeTint="99"/>
        <w:bottom w:val="single" w:sz="4" w:space="0" w:color="FDE967" w:themeColor="accent6" w:themeTint="99"/>
        <w:right w:val="single" w:sz="4" w:space="0" w:color="FDE967" w:themeColor="accent6" w:themeTint="99"/>
        <w:insideH w:val="single" w:sz="4" w:space="0" w:color="FDE967" w:themeColor="accent6" w:themeTint="99"/>
        <w:insideV w:val="single" w:sz="4" w:space="0" w:color="FDE967" w:themeColor="accent6" w:themeTint="99"/>
      </w:tblBorders>
    </w:tblPr>
    <w:tblStylePr w:type="firstRow">
      <w:rPr>
        <w:b/>
        <w:bCs/>
        <w:color w:val="FFFFFF" w:themeColor="background1"/>
      </w:rPr>
      <w:tblPr/>
      <w:tcPr>
        <w:tcBorders>
          <w:top w:val="single" w:sz="4" w:space="0" w:color="FDDB03" w:themeColor="accent6"/>
          <w:left w:val="single" w:sz="4" w:space="0" w:color="FDDB03" w:themeColor="accent6"/>
          <w:bottom w:val="single" w:sz="4" w:space="0" w:color="FDDB03" w:themeColor="accent6"/>
          <w:right w:val="single" w:sz="4" w:space="0" w:color="FDDB03" w:themeColor="accent6"/>
          <w:insideH w:val="nil"/>
          <w:insideV w:val="nil"/>
        </w:tcBorders>
        <w:shd w:val="clear" w:color="auto" w:fill="FDDB03" w:themeFill="accent6"/>
      </w:tcPr>
    </w:tblStylePr>
    <w:tblStylePr w:type="lastRow">
      <w:rPr>
        <w:b/>
        <w:bCs/>
      </w:rPr>
      <w:tblPr/>
      <w:tcPr>
        <w:tcBorders>
          <w:top w:val="double" w:sz="4" w:space="0" w:color="FDDB03" w:themeColor="accent6"/>
        </w:tcBorders>
      </w:tcPr>
    </w:tblStylePr>
    <w:tblStylePr w:type="firstCol">
      <w:rPr>
        <w:b/>
        <w:bCs/>
      </w:rPr>
    </w:tblStylePr>
    <w:tblStylePr w:type="lastCol">
      <w:rPr>
        <w:b/>
        <w:bCs/>
      </w:rPr>
    </w:tblStylePr>
    <w:tblStylePr w:type="band1Vert">
      <w:tblPr/>
      <w:tcPr>
        <w:shd w:val="clear" w:color="auto" w:fill="FEF7CC" w:themeFill="accent6" w:themeFillTint="33"/>
      </w:tcPr>
    </w:tblStylePr>
    <w:tblStylePr w:type="band1Horz">
      <w:tblPr/>
      <w:tcPr>
        <w:shd w:val="clear" w:color="auto" w:fill="FEF7CC" w:themeFill="accent6" w:themeFillTint="33"/>
      </w:tcPr>
    </w:tblStylePr>
  </w:style>
  <w:style w:type="table" w:styleId="GridTable5Dark">
    <w:name w:val="Grid Table 5 Dark"/>
    <w:basedOn w:val="TableNormal"/>
    <w:uiPriority w:val="50"/>
    <w:rsid w:val="00DF0E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F0E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F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B31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B31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B31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B319" w:themeFill="accent1"/>
      </w:tcPr>
    </w:tblStylePr>
    <w:tblStylePr w:type="band1Vert">
      <w:tblPr/>
      <w:tcPr>
        <w:shd w:val="clear" w:color="auto" w:fill="FDE0A2" w:themeFill="accent1" w:themeFillTint="66"/>
      </w:tcPr>
    </w:tblStylePr>
    <w:tblStylePr w:type="band1Horz">
      <w:tblPr/>
      <w:tcPr>
        <w:shd w:val="clear" w:color="auto" w:fill="FDE0A2" w:themeFill="accent1" w:themeFillTint="66"/>
      </w:tcPr>
    </w:tblStylePr>
  </w:style>
  <w:style w:type="table" w:styleId="GridTable5Dark-Accent2">
    <w:name w:val="Grid Table 5 Dark Accent 2"/>
    <w:basedOn w:val="TableNormal"/>
    <w:uiPriority w:val="50"/>
    <w:rsid w:val="00DF0E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CDE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0E8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0E8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0E8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0E8A" w:themeFill="accent2"/>
      </w:tcPr>
    </w:tblStylePr>
    <w:tblStylePr w:type="band1Vert">
      <w:tblPr/>
      <w:tcPr>
        <w:shd w:val="clear" w:color="auto" w:fill="F99BD0" w:themeFill="accent2" w:themeFillTint="66"/>
      </w:tcPr>
    </w:tblStylePr>
    <w:tblStylePr w:type="band1Horz">
      <w:tblPr/>
      <w:tcPr>
        <w:shd w:val="clear" w:color="auto" w:fill="F99BD0" w:themeFill="accent2" w:themeFillTint="66"/>
      </w:tcPr>
    </w:tblStylePr>
  </w:style>
  <w:style w:type="table" w:styleId="GridTable5Dark-Accent3">
    <w:name w:val="Grid Table 5 Dark Accent 3"/>
    <w:basedOn w:val="TableNormal"/>
    <w:uiPriority w:val="50"/>
    <w:rsid w:val="00DF0E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F2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3E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3E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3E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3E4" w:themeFill="accent3"/>
      </w:tcPr>
    </w:tblStylePr>
    <w:tblStylePr w:type="band1Vert">
      <w:tblPr/>
      <w:tcPr>
        <w:shd w:val="clear" w:color="auto" w:fill="8EE6FF" w:themeFill="accent3" w:themeFillTint="66"/>
      </w:tcPr>
    </w:tblStylePr>
    <w:tblStylePr w:type="band1Horz">
      <w:tblPr/>
      <w:tcPr>
        <w:shd w:val="clear" w:color="auto" w:fill="8EE6FF" w:themeFill="accent3" w:themeFillTint="66"/>
      </w:tcPr>
    </w:tblStylePr>
  </w:style>
  <w:style w:type="table" w:styleId="GridTable5Dark-Accent4">
    <w:name w:val="Grid Table 5 Dark Accent 4"/>
    <w:basedOn w:val="TableNormal"/>
    <w:uiPriority w:val="50"/>
    <w:rsid w:val="00DF0E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3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C64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C64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C64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C640" w:themeFill="accent4"/>
      </w:tcPr>
    </w:tblStylePr>
    <w:tblStylePr w:type="band1Vert">
      <w:tblPr/>
      <w:tcPr>
        <w:shd w:val="clear" w:color="auto" w:fill="D0E8B2" w:themeFill="accent4" w:themeFillTint="66"/>
      </w:tcPr>
    </w:tblStylePr>
    <w:tblStylePr w:type="band1Horz">
      <w:tblPr/>
      <w:tcPr>
        <w:shd w:val="clear" w:color="auto" w:fill="D0E8B2" w:themeFill="accent4" w:themeFillTint="66"/>
      </w:tcPr>
    </w:tblStylePr>
  </w:style>
  <w:style w:type="table" w:styleId="GridTable5Dark-Accent5">
    <w:name w:val="Grid Table 5 Dark Accent 5"/>
    <w:basedOn w:val="TableNormal"/>
    <w:uiPriority w:val="50"/>
    <w:rsid w:val="00DF0E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7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F39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F39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F39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F3942" w:themeFill="accent5"/>
      </w:tcPr>
    </w:tblStylePr>
    <w:tblStylePr w:type="band1Vert">
      <w:tblPr/>
      <w:tcPr>
        <w:shd w:val="clear" w:color="auto" w:fill="F8AFB3" w:themeFill="accent5" w:themeFillTint="66"/>
      </w:tcPr>
    </w:tblStylePr>
    <w:tblStylePr w:type="band1Horz">
      <w:tblPr/>
      <w:tcPr>
        <w:shd w:val="clear" w:color="auto" w:fill="F8AFB3" w:themeFill="accent5" w:themeFillTint="66"/>
      </w:tcPr>
    </w:tblStylePr>
  </w:style>
  <w:style w:type="table" w:styleId="GridTable5Dark-Accent6">
    <w:name w:val="Grid Table 5 Dark Accent 6"/>
    <w:basedOn w:val="TableNormal"/>
    <w:uiPriority w:val="50"/>
    <w:rsid w:val="00DF0E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DB0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DB0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DB0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DB03" w:themeFill="accent6"/>
      </w:tcPr>
    </w:tblStylePr>
    <w:tblStylePr w:type="band1Vert">
      <w:tblPr/>
      <w:tcPr>
        <w:shd w:val="clear" w:color="auto" w:fill="FEF09A" w:themeFill="accent6" w:themeFillTint="66"/>
      </w:tcPr>
    </w:tblStylePr>
    <w:tblStylePr w:type="band1Horz">
      <w:tblPr/>
      <w:tcPr>
        <w:shd w:val="clear" w:color="auto" w:fill="FEF09A" w:themeFill="accent6" w:themeFillTint="66"/>
      </w:tcPr>
    </w:tblStylePr>
  </w:style>
  <w:style w:type="table" w:styleId="GridTable6Colorful">
    <w:name w:val="Grid Table 6 Colorful"/>
    <w:basedOn w:val="TableNormal"/>
    <w:uiPriority w:val="51"/>
    <w:rsid w:val="00DF0E9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F0E94"/>
    <w:pPr>
      <w:spacing w:after="0" w:line="240" w:lineRule="auto"/>
    </w:pPr>
    <w:rPr>
      <w:color w:val="CC8A02" w:themeColor="accent1" w:themeShade="BF"/>
    </w:rPr>
    <w:tblPr>
      <w:tblStyleRowBandSize w:val="1"/>
      <w:tblStyleColBandSize w:val="1"/>
      <w:tblBorders>
        <w:top w:val="single" w:sz="4" w:space="0" w:color="FDD074" w:themeColor="accent1" w:themeTint="99"/>
        <w:left w:val="single" w:sz="4" w:space="0" w:color="FDD074" w:themeColor="accent1" w:themeTint="99"/>
        <w:bottom w:val="single" w:sz="4" w:space="0" w:color="FDD074" w:themeColor="accent1" w:themeTint="99"/>
        <w:right w:val="single" w:sz="4" w:space="0" w:color="FDD074" w:themeColor="accent1" w:themeTint="99"/>
        <w:insideH w:val="single" w:sz="4" w:space="0" w:color="FDD074" w:themeColor="accent1" w:themeTint="99"/>
        <w:insideV w:val="single" w:sz="4" w:space="0" w:color="FDD074" w:themeColor="accent1" w:themeTint="99"/>
      </w:tblBorders>
    </w:tblPr>
    <w:tblStylePr w:type="firstRow">
      <w:rPr>
        <w:b/>
        <w:bCs/>
      </w:rPr>
      <w:tblPr/>
      <w:tcPr>
        <w:tcBorders>
          <w:bottom w:val="single" w:sz="12" w:space="0" w:color="FDD074" w:themeColor="accent1" w:themeTint="99"/>
        </w:tcBorders>
      </w:tcPr>
    </w:tblStylePr>
    <w:tblStylePr w:type="lastRow">
      <w:rPr>
        <w:b/>
        <w:bCs/>
      </w:rPr>
      <w:tblPr/>
      <w:tcPr>
        <w:tcBorders>
          <w:top w:val="double" w:sz="4" w:space="0" w:color="FDD074" w:themeColor="accent1" w:themeTint="99"/>
        </w:tcBorders>
      </w:tcPr>
    </w:tblStylePr>
    <w:tblStylePr w:type="firstCol">
      <w:rPr>
        <w:b/>
        <w:bCs/>
      </w:rPr>
    </w:tblStylePr>
    <w:tblStylePr w:type="lastCol">
      <w:rPr>
        <w:b/>
        <w:bCs/>
      </w:rPr>
    </w:tblStylePr>
    <w:tblStylePr w:type="band1Vert">
      <w:tblPr/>
      <w:tcPr>
        <w:shd w:val="clear" w:color="auto" w:fill="FEEFD0" w:themeFill="accent1" w:themeFillTint="33"/>
      </w:tcPr>
    </w:tblStylePr>
    <w:tblStylePr w:type="band1Horz">
      <w:tblPr/>
      <w:tcPr>
        <w:shd w:val="clear" w:color="auto" w:fill="FEEFD0" w:themeFill="accent1" w:themeFillTint="33"/>
      </w:tcPr>
    </w:tblStylePr>
  </w:style>
  <w:style w:type="table" w:styleId="GridTable6Colorful-Accent2">
    <w:name w:val="Grid Table 6 Colorful Accent 2"/>
    <w:basedOn w:val="TableNormal"/>
    <w:uiPriority w:val="51"/>
    <w:rsid w:val="00DF0E94"/>
    <w:pPr>
      <w:spacing w:after="0" w:line="240" w:lineRule="auto"/>
    </w:pPr>
    <w:rPr>
      <w:color w:val="AC0A66" w:themeColor="accent2" w:themeShade="BF"/>
    </w:rPr>
    <w:tblPr>
      <w:tblStyleRowBandSize w:val="1"/>
      <w:tblStyleColBandSize w:val="1"/>
      <w:tblBorders>
        <w:top w:val="single" w:sz="4" w:space="0" w:color="F669B9" w:themeColor="accent2" w:themeTint="99"/>
        <w:left w:val="single" w:sz="4" w:space="0" w:color="F669B9" w:themeColor="accent2" w:themeTint="99"/>
        <w:bottom w:val="single" w:sz="4" w:space="0" w:color="F669B9" w:themeColor="accent2" w:themeTint="99"/>
        <w:right w:val="single" w:sz="4" w:space="0" w:color="F669B9" w:themeColor="accent2" w:themeTint="99"/>
        <w:insideH w:val="single" w:sz="4" w:space="0" w:color="F669B9" w:themeColor="accent2" w:themeTint="99"/>
        <w:insideV w:val="single" w:sz="4" w:space="0" w:color="F669B9" w:themeColor="accent2" w:themeTint="99"/>
      </w:tblBorders>
    </w:tblPr>
    <w:tblStylePr w:type="firstRow">
      <w:rPr>
        <w:b/>
        <w:bCs/>
      </w:rPr>
      <w:tblPr/>
      <w:tcPr>
        <w:tcBorders>
          <w:bottom w:val="single" w:sz="12" w:space="0" w:color="F669B9" w:themeColor="accent2" w:themeTint="99"/>
        </w:tcBorders>
      </w:tcPr>
    </w:tblStylePr>
    <w:tblStylePr w:type="lastRow">
      <w:rPr>
        <w:b/>
        <w:bCs/>
      </w:rPr>
      <w:tblPr/>
      <w:tcPr>
        <w:tcBorders>
          <w:top w:val="double" w:sz="4" w:space="0" w:color="F669B9" w:themeColor="accent2" w:themeTint="99"/>
        </w:tcBorders>
      </w:tcPr>
    </w:tblStylePr>
    <w:tblStylePr w:type="firstCol">
      <w:rPr>
        <w:b/>
        <w:bCs/>
      </w:rPr>
    </w:tblStylePr>
    <w:tblStylePr w:type="lastCol">
      <w:rPr>
        <w:b/>
        <w:bCs/>
      </w:rPr>
    </w:tblStylePr>
    <w:tblStylePr w:type="band1Vert">
      <w:tblPr/>
      <w:tcPr>
        <w:shd w:val="clear" w:color="auto" w:fill="FCCDE7" w:themeFill="accent2" w:themeFillTint="33"/>
      </w:tcPr>
    </w:tblStylePr>
    <w:tblStylePr w:type="band1Horz">
      <w:tblPr/>
      <w:tcPr>
        <w:shd w:val="clear" w:color="auto" w:fill="FCCDE7" w:themeFill="accent2" w:themeFillTint="33"/>
      </w:tcPr>
    </w:tblStylePr>
  </w:style>
  <w:style w:type="table" w:styleId="GridTable6Colorful-Accent3">
    <w:name w:val="Grid Table 6 Colorful Accent 3"/>
    <w:basedOn w:val="TableNormal"/>
    <w:uiPriority w:val="51"/>
    <w:rsid w:val="00DF0E94"/>
    <w:pPr>
      <w:spacing w:after="0" w:line="240" w:lineRule="auto"/>
    </w:pPr>
    <w:rPr>
      <w:color w:val="0085AA" w:themeColor="accent3" w:themeShade="BF"/>
    </w:rPr>
    <w:tblPr>
      <w:tblStyleRowBandSize w:val="1"/>
      <w:tblStyleColBandSize w:val="1"/>
      <w:tblBorders>
        <w:top w:val="single" w:sz="4" w:space="0" w:color="55DAFF" w:themeColor="accent3" w:themeTint="99"/>
        <w:left w:val="single" w:sz="4" w:space="0" w:color="55DAFF" w:themeColor="accent3" w:themeTint="99"/>
        <w:bottom w:val="single" w:sz="4" w:space="0" w:color="55DAFF" w:themeColor="accent3" w:themeTint="99"/>
        <w:right w:val="single" w:sz="4" w:space="0" w:color="55DAFF" w:themeColor="accent3" w:themeTint="99"/>
        <w:insideH w:val="single" w:sz="4" w:space="0" w:color="55DAFF" w:themeColor="accent3" w:themeTint="99"/>
        <w:insideV w:val="single" w:sz="4" w:space="0" w:color="55DAFF" w:themeColor="accent3" w:themeTint="99"/>
      </w:tblBorders>
    </w:tblPr>
    <w:tblStylePr w:type="firstRow">
      <w:rPr>
        <w:b/>
        <w:bCs/>
      </w:rPr>
      <w:tblPr/>
      <w:tcPr>
        <w:tcBorders>
          <w:bottom w:val="single" w:sz="12" w:space="0" w:color="55DAFF" w:themeColor="accent3" w:themeTint="99"/>
        </w:tcBorders>
      </w:tcPr>
    </w:tblStylePr>
    <w:tblStylePr w:type="lastRow">
      <w:rPr>
        <w:b/>
        <w:bCs/>
      </w:rPr>
      <w:tblPr/>
      <w:tcPr>
        <w:tcBorders>
          <w:top w:val="double" w:sz="4" w:space="0" w:color="55DAFF" w:themeColor="accent3" w:themeTint="99"/>
        </w:tcBorders>
      </w:tcPr>
    </w:tblStylePr>
    <w:tblStylePr w:type="firstCol">
      <w:rPr>
        <w:b/>
        <w:bCs/>
      </w:rPr>
    </w:tblStylePr>
    <w:tblStylePr w:type="lastCol">
      <w:rPr>
        <w:b/>
        <w:bCs/>
      </w:rPr>
    </w:tblStylePr>
    <w:tblStylePr w:type="band1Vert">
      <w:tblPr/>
      <w:tcPr>
        <w:shd w:val="clear" w:color="auto" w:fill="C6F2FF" w:themeFill="accent3" w:themeFillTint="33"/>
      </w:tcPr>
    </w:tblStylePr>
    <w:tblStylePr w:type="band1Horz">
      <w:tblPr/>
      <w:tcPr>
        <w:shd w:val="clear" w:color="auto" w:fill="C6F2FF" w:themeFill="accent3" w:themeFillTint="33"/>
      </w:tcPr>
    </w:tblStylePr>
  </w:style>
  <w:style w:type="table" w:styleId="GridTable6Colorful-Accent4">
    <w:name w:val="Grid Table 6 Colorful Accent 4"/>
    <w:basedOn w:val="TableNormal"/>
    <w:uiPriority w:val="51"/>
    <w:rsid w:val="00DF0E94"/>
    <w:pPr>
      <w:spacing w:after="0" w:line="240" w:lineRule="auto"/>
    </w:pPr>
    <w:rPr>
      <w:color w:val="68962D" w:themeColor="accent4" w:themeShade="BF"/>
    </w:rPr>
    <w:tblPr>
      <w:tblStyleRowBandSize w:val="1"/>
      <w:tblStyleColBandSize w:val="1"/>
      <w:tblBorders>
        <w:top w:val="single" w:sz="4" w:space="0" w:color="B9DC8C" w:themeColor="accent4" w:themeTint="99"/>
        <w:left w:val="single" w:sz="4" w:space="0" w:color="B9DC8C" w:themeColor="accent4" w:themeTint="99"/>
        <w:bottom w:val="single" w:sz="4" w:space="0" w:color="B9DC8C" w:themeColor="accent4" w:themeTint="99"/>
        <w:right w:val="single" w:sz="4" w:space="0" w:color="B9DC8C" w:themeColor="accent4" w:themeTint="99"/>
        <w:insideH w:val="single" w:sz="4" w:space="0" w:color="B9DC8C" w:themeColor="accent4" w:themeTint="99"/>
        <w:insideV w:val="single" w:sz="4" w:space="0" w:color="B9DC8C" w:themeColor="accent4" w:themeTint="99"/>
      </w:tblBorders>
    </w:tblPr>
    <w:tblStylePr w:type="firstRow">
      <w:rPr>
        <w:b/>
        <w:bCs/>
      </w:rPr>
      <w:tblPr/>
      <w:tcPr>
        <w:tcBorders>
          <w:bottom w:val="single" w:sz="12" w:space="0" w:color="B9DC8C" w:themeColor="accent4" w:themeTint="99"/>
        </w:tcBorders>
      </w:tcPr>
    </w:tblStylePr>
    <w:tblStylePr w:type="lastRow">
      <w:rPr>
        <w:b/>
        <w:bCs/>
      </w:rPr>
      <w:tblPr/>
      <w:tcPr>
        <w:tcBorders>
          <w:top w:val="double" w:sz="4" w:space="0" w:color="B9DC8C" w:themeColor="accent4" w:themeTint="99"/>
        </w:tcBorders>
      </w:tcPr>
    </w:tblStylePr>
    <w:tblStylePr w:type="firstCol">
      <w:rPr>
        <w:b/>
        <w:bCs/>
      </w:rPr>
    </w:tblStylePr>
    <w:tblStylePr w:type="lastCol">
      <w:rPr>
        <w:b/>
        <w:bCs/>
      </w:rPr>
    </w:tblStylePr>
    <w:tblStylePr w:type="band1Vert">
      <w:tblPr/>
      <w:tcPr>
        <w:shd w:val="clear" w:color="auto" w:fill="E7F3D8" w:themeFill="accent4" w:themeFillTint="33"/>
      </w:tcPr>
    </w:tblStylePr>
    <w:tblStylePr w:type="band1Horz">
      <w:tblPr/>
      <w:tcPr>
        <w:shd w:val="clear" w:color="auto" w:fill="E7F3D8" w:themeFill="accent4" w:themeFillTint="33"/>
      </w:tcPr>
    </w:tblStylePr>
  </w:style>
  <w:style w:type="table" w:styleId="GridTable6Colorful-Accent5">
    <w:name w:val="Grid Table 6 Colorful Accent 5"/>
    <w:basedOn w:val="TableNormal"/>
    <w:uiPriority w:val="51"/>
    <w:rsid w:val="00DF0E94"/>
    <w:pPr>
      <w:spacing w:after="0" w:line="240" w:lineRule="auto"/>
    </w:pPr>
    <w:rPr>
      <w:color w:val="CD1019" w:themeColor="accent5" w:themeShade="BF"/>
    </w:rPr>
    <w:tblPr>
      <w:tblStyleRowBandSize w:val="1"/>
      <w:tblStyleColBandSize w:val="1"/>
      <w:tblBorders>
        <w:top w:val="single" w:sz="4" w:space="0" w:color="F5878C" w:themeColor="accent5" w:themeTint="99"/>
        <w:left w:val="single" w:sz="4" w:space="0" w:color="F5878C" w:themeColor="accent5" w:themeTint="99"/>
        <w:bottom w:val="single" w:sz="4" w:space="0" w:color="F5878C" w:themeColor="accent5" w:themeTint="99"/>
        <w:right w:val="single" w:sz="4" w:space="0" w:color="F5878C" w:themeColor="accent5" w:themeTint="99"/>
        <w:insideH w:val="single" w:sz="4" w:space="0" w:color="F5878C" w:themeColor="accent5" w:themeTint="99"/>
        <w:insideV w:val="single" w:sz="4" w:space="0" w:color="F5878C" w:themeColor="accent5" w:themeTint="99"/>
      </w:tblBorders>
    </w:tblPr>
    <w:tblStylePr w:type="firstRow">
      <w:rPr>
        <w:b/>
        <w:bCs/>
      </w:rPr>
      <w:tblPr/>
      <w:tcPr>
        <w:tcBorders>
          <w:bottom w:val="single" w:sz="12" w:space="0" w:color="F5878C" w:themeColor="accent5" w:themeTint="99"/>
        </w:tcBorders>
      </w:tcPr>
    </w:tblStylePr>
    <w:tblStylePr w:type="lastRow">
      <w:rPr>
        <w:b/>
        <w:bCs/>
      </w:rPr>
      <w:tblPr/>
      <w:tcPr>
        <w:tcBorders>
          <w:top w:val="double" w:sz="4" w:space="0" w:color="F5878C" w:themeColor="accent5" w:themeTint="99"/>
        </w:tcBorders>
      </w:tcPr>
    </w:tblStylePr>
    <w:tblStylePr w:type="firstCol">
      <w:rPr>
        <w:b/>
        <w:bCs/>
      </w:rPr>
    </w:tblStylePr>
    <w:tblStylePr w:type="lastCol">
      <w:rPr>
        <w:b/>
        <w:bCs/>
      </w:rPr>
    </w:tblStylePr>
    <w:tblStylePr w:type="band1Vert">
      <w:tblPr/>
      <w:tcPr>
        <w:shd w:val="clear" w:color="auto" w:fill="FBD7D8" w:themeFill="accent5" w:themeFillTint="33"/>
      </w:tcPr>
    </w:tblStylePr>
    <w:tblStylePr w:type="band1Horz">
      <w:tblPr/>
      <w:tcPr>
        <w:shd w:val="clear" w:color="auto" w:fill="FBD7D8" w:themeFill="accent5" w:themeFillTint="33"/>
      </w:tcPr>
    </w:tblStylePr>
  </w:style>
  <w:style w:type="table" w:styleId="GridTable6Colorful-Accent6">
    <w:name w:val="Grid Table 6 Colorful Accent 6"/>
    <w:basedOn w:val="TableNormal"/>
    <w:uiPriority w:val="51"/>
    <w:rsid w:val="00DF0E94"/>
    <w:pPr>
      <w:spacing w:after="0" w:line="240" w:lineRule="auto"/>
    </w:pPr>
    <w:rPr>
      <w:color w:val="BEA401" w:themeColor="accent6" w:themeShade="BF"/>
    </w:rPr>
    <w:tblPr>
      <w:tblStyleRowBandSize w:val="1"/>
      <w:tblStyleColBandSize w:val="1"/>
      <w:tblBorders>
        <w:top w:val="single" w:sz="4" w:space="0" w:color="FDE967" w:themeColor="accent6" w:themeTint="99"/>
        <w:left w:val="single" w:sz="4" w:space="0" w:color="FDE967" w:themeColor="accent6" w:themeTint="99"/>
        <w:bottom w:val="single" w:sz="4" w:space="0" w:color="FDE967" w:themeColor="accent6" w:themeTint="99"/>
        <w:right w:val="single" w:sz="4" w:space="0" w:color="FDE967" w:themeColor="accent6" w:themeTint="99"/>
        <w:insideH w:val="single" w:sz="4" w:space="0" w:color="FDE967" w:themeColor="accent6" w:themeTint="99"/>
        <w:insideV w:val="single" w:sz="4" w:space="0" w:color="FDE967" w:themeColor="accent6" w:themeTint="99"/>
      </w:tblBorders>
    </w:tblPr>
    <w:tblStylePr w:type="firstRow">
      <w:rPr>
        <w:b/>
        <w:bCs/>
      </w:rPr>
      <w:tblPr/>
      <w:tcPr>
        <w:tcBorders>
          <w:bottom w:val="single" w:sz="12" w:space="0" w:color="FDE967" w:themeColor="accent6" w:themeTint="99"/>
        </w:tcBorders>
      </w:tcPr>
    </w:tblStylePr>
    <w:tblStylePr w:type="lastRow">
      <w:rPr>
        <w:b/>
        <w:bCs/>
      </w:rPr>
      <w:tblPr/>
      <w:tcPr>
        <w:tcBorders>
          <w:top w:val="double" w:sz="4" w:space="0" w:color="FDE967" w:themeColor="accent6" w:themeTint="99"/>
        </w:tcBorders>
      </w:tcPr>
    </w:tblStylePr>
    <w:tblStylePr w:type="firstCol">
      <w:rPr>
        <w:b/>
        <w:bCs/>
      </w:rPr>
    </w:tblStylePr>
    <w:tblStylePr w:type="lastCol">
      <w:rPr>
        <w:b/>
        <w:bCs/>
      </w:rPr>
    </w:tblStylePr>
    <w:tblStylePr w:type="band1Vert">
      <w:tblPr/>
      <w:tcPr>
        <w:shd w:val="clear" w:color="auto" w:fill="FEF7CC" w:themeFill="accent6" w:themeFillTint="33"/>
      </w:tcPr>
    </w:tblStylePr>
    <w:tblStylePr w:type="band1Horz">
      <w:tblPr/>
      <w:tcPr>
        <w:shd w:val="clear" w:color="auto" w:fill="FEF7CC" w:themeFill="accent6" w:themeFillTint="33"/>
      </w:tcPr>
    </w:tblStylePr>
  </w:style>
  <w:style w:type="table" w:styleId="GridTable7Colorful">
    <w:name w:val="Grid Table 7 Colorful"/>
    <w:basedOn w:val="TableNormal"/>
    <w:uiPriority w:val="52"/>
    <w:rsid w:val="00DF0E9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F0E94"/>
    <w:pPr>
      <w:spacing w:after="0" w:line="240" w:lineRule="auto"/>
    </w:pPr>
    <w:rPr>
      <w:color w:val="CC8A02" w:themeColor="accent1" w:themeShade="BF"/>
    </w:rPr>
    <w:tblPr>
      <w:tblStyleRowBandSize w:val="1"/>
      <w:tblStyleColBandSize w:val="1"/>
      <w:tblBorders>
        <w:top w:val="single" w:sz="4" w:space="0" w:color="FDD074" w:themeColor="accent1" w:themeTint="99"/>
        <w:left w:val="single" w:sz="4" w:space="0" w:color="FDD074" w:themeColor="accent1" w:themeTint="99"/>
        <w:bottom w:val="single" w:sz="4" w:space="0" w:color="FDD074" w:themeColor="accent1" w:themeTint="99"/>
        <w:right w:val="single" w:sz="4" w:space="0" w:color="FDD074" w:themeColor="accent1" w:themeTint="99"/>
        <w:insideH w:val="single" w:sz="4" w:space="0" w:color="FDD074" w:themeColor="accent1" w:themeTint="99"/>
        <w:insideV w:val="single" w:sz="4" w:space="0" w:color="FDD07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FD0" w:themeFill="accent1" w:themeFillTint="33"/>
      </w:tcPr>
    </w:tblStylePr>
    <w:tblStylePr w:type="band1Horz">
      <w:tblPr/>
      <w:tcPr>
        <w:shd w:val="clear" w:color="auto" w:fill="FEEFD0" w:themeFill="accent1" w:themeFillTint="33"/>
      </w:tcPr>
    </w:tblStylePr>
    <w:tblStylePr w:type="neCell">
      <w:tblPr/>
      <w:tcPr>
        <w:tcBorders>
          <w:bottom w:val="single" w:sz="4" w:space="0" w:color="FDD074" w:themeColor="accent1" w:themeTint="99"/>
        </w:tcBorders>
      </w:tcPr>
    </w:tblStylePr>
    <w:tblStylePr w:type="nwCell">
      <w:tblPr/>
      <w:tcPr>
        <w:tcBorders>
          <w:bottom w:val="single" w:sz="4" w:space="0" w:color="FDD074" w:themeColor="accent1" w:themeTint="99"/>
        </w:tcBorders>
      </w:tcPr>
    </w:tblStylePr>
    <w:tblStylePr w:type="seCell">
      <w:tblPr/>
      <w:tcPr>
        <w:tcBorders>
          <w:top w:val="single" w:sz="4" w:space="0" w:color="FDD074" w:themeColor="accent1" w:themeTint="99"/>
        </w:tcBorders>
      </w:tcPr>
    </w:tblStylePr>
    <w:tblStylePr w:type="swCell">
      <w:tblPr/>
      <w:tcPr>
        <w:tcBorders>
          <w:top w:val="single" w:sz="4" w:space="0" w:color="FDD074" w:themeColor="accent1" w:themeTint="99"/>
        </w:tcBorders>
      </w:tcPr>
    </w:tblStylePr>
  </w:style>
  <w:style w:type="table" w:styleId="GridTable7Colorful-Accent2">
    <w:name w:val="Grid Table 7 Colorful Accent 2"/>
    <w:basedOn w:val="TableNormal"/>
    <w:uiPriority w:val="52"/>
    <w:rsid w:val="00DF0E94"/>
    <w:pPr>
      <w:spacing w:after="0" w:line="240" w:lineRule="auto"/>
    </w:pPr>
    <w:rPr>
      <w:color w:val="AC0A66" w:themeColor="accent2" w:themeShade="BF"/>
    </w:rPr>
    <w:tblPr>
      <w:tblStyleRowBandSize w:val="1"/>
      <w:tblStyleColBandSize w:val="1"/>
      <w:tblBorders>
        <w:top w:val="single" w:sz="4" w:space="0" w:color="F669B9" w:themeColor="accent2" w:themeTint="99"/>
        <w:left w:val="single" w:sz="4" w:space="0" w:color="F669B9" w:themeColor="accent2" w:themeTint="99"/>
        <w:bottom w:val="single" w:sz="4" w:space="0" w:color="F669B9" w:themeColor="accent2" w:themeTint="99"/>
        <w:right w:val="single" w:sz="4" w:space="0" w:color="F669B9" w:themeColor="accent2" w:themeTint="99"/>
        <w:insideH w:val="single" w:sz="4" w:space="0" w:color="F669B9" w:themeColor="accent2" w:themeTint="99"/>
        <w:insideV w:val="single" w:sz="4" w:space="0" w:color="F669B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CDE7" w:themeFill="accent2" w:themeFillTint="33"/>
      </w:tcPr>
    </w:tblStylePr>
    <w:tblStylePr w:type="band1Horz">
      <w:tblPr/>
      <w:tcPr>
        <w:shd w:val="clear" w:color="auto" w:fill="FCCDE7" w:themeFill="accent2" w:themeFillTint="33"/>
      </w:tcPr>
    </w:tblStylePr>
    <w:tblStylePr w:type="neCell">
      <w:tblPr/>
      <w:tcPr>
        <w:tcBorders>
          <w:bottom w:val="single" w:sz="4" w:space="0" w:color="F669B9" w:themeColor="accent2" w:themeTint="99"/>
        </w:tcBorders>
      </w:tcPr>
    </w:tblStylePr>
    <w:tblStylePr w:type="nwCell">
      <w:tblPr/>
      <w:tcPr>
        <w:tcBorders>
          <w:bottom w:val="single" w:sz="4" w:space="0" w:color="F669B9" w:themeColor="accent2" w:themeTint="99"/>
        </w:tcBorders>
      </w:tcPr>
    </w:tblStylePr>
    <w:tblStylePr w:type="seCell">
      <w:tblPr/>
      <w:tcPr>
        <w:tcBorders>
          <w:top w:val="single" w:sz="4" w:space="0" w:color="F669B9" w:themeColor="accent2" w:themeTint="99"/>
        </w:tcBorders>
      </w:tcPr>
    </w:tblStylePr>
    <w:tblStylePr w:type="swCell">
      <w:tblPr/>
      <w:tcPr>
        <w:tcBorders>
          <w:top w:val="single" w:sz="4" w:space="0" w:color="F669B9" w:themeColor="accent2" w:themeTint="99"/>
        </w:tcBorders>
      </w:tcPr>
    </w:tblStylePr>
  </w:style>
  <w:style w:type="table" w:styleId="GridTable7Colorful-Accent3">
    <w:name w:val="Grid Table 7 Colorful Accent 3"/>
    <w:basedOn w:val="TableNormal"/>
    <w:uiPriority w:val="52"/>
    <w:rsid w:val="00DF0E94"/>
    <w:pPr>
      <w:spacing w:after="0" w:line="240" w:lineRule="auto"/>
    </w:pPr>
    <w:rPr>
      <w:color w:val="0085AA" w:themeColor="accent3" w:themeShade="BF"/>
    </w:rPr>
    <w:tblPr>
      <w:tblStyleRowBandSize w:val="1"/>
      <w:tblStyleColBandSize w:val="1"/>
      <w:tblBorders>
        <w:top w:val="single" w:sz="4" w:space="0" w:color="55DAFF" w:themeColor="accent3" w:themeTint="99"/>
        <w:left w:val="single" w:sz="4" w:space="0" w:color="55DAFF" w:themeColor="accent3" w:themeTint="99"/>
        <w:bottom w:val="single" w:sz="4" w:space="0" w:color="55DAFF" w:themeColor="accent3" w:themeTint="99"/>
        <w:right w:val="single" w:sz="4" w:space="0" w:color="55DAFF" w:themeColor="accent3" w:themeTint="99"/>
        <w:insideH w:val="single" w:sz="4" w:space="0" w:color="55DAFF" w:themeColor="accent3" w:themeTint="99"/>
        <w:insideV w:val="single" w:sz="4" w:space="0" w:color="55DA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2FF" w:themeFill="accent3" w:themeFillTint="33"/>
      </w:tcPr>
    </w:tblStylePr>
    <w:tblStylePr w:type="band1Horz">
      <w:tblPr/>
      <w:tcPr>
        <w:shd w:val="clear" w:color="auto" w:fill="C6F2FF" w:themeFill="accent3" w:themeFillTint="33"/>
      </w:tcPr>
    </w:tblStylePr>
    <w:tblStylePr w:type="neCell">
      <w:tblPr/>
      <w:tcPr>
        <w:tcBorders>
          <w:bottom w:val="single" w:sz="4" w:space="0" w:color="55DAFF" w:themeColor="accent3" w:themeTint="99"/>
        </w:tcBorders>
      </w:tcPr>
    </w:tblStylePr>
    <w:tblStylePr w:type="nwCell">
      <w:tblPr/>
      <w:tcPr>
        <w:tcBorders>
          <w:bottom w:val="single" w:sz="4" w:space="0" w:color="55DAFF" w:themeColor="accent3" w:themeTint="99"/>
        </w:tcBorders>
      </w:tcPr>
    </w:tblStylePr>
    <w:tblStylePr w:type="seCell">
      <w:tblPr/>
      <w:tcPr>
        <w:tcBorders>
          <w:top w:val="single" w:sz="4" w:space="0" w:color="55DAFF" w:themeColor="accent3" w:themeTint="99"/>
        </w:tcBorders>
      </w:tcPr>
    </w:tblStylePr>
    <w:tblStylePr w:type="swCell">
      <w:tblPr/>
      <w:tcPr>
        <w:tcBorders>
          <w:top w:val="single" w:sz="4" w:space="0" w:color="55DAFF" w:themeColor="accent3" w:themeTint="99"/>
        </w:tcBorders>
      </w:tcPr>
    </w:tblStylePr>
  </w:style>
  <w:style w:type="table" w:styleId="GridTable7Colorful-Accent4">
    <w:name w:val="Grid Table 7 Colorful Accent 4"/>
    <w:basedOn w:val="TableNormal"/>
    <w:uiPriority w:val="52"/>
    <w:rsid w:val="00DF0E94"/>
    <w:pPr>
      <w:spacing w:after="0" w:line="240" w:lineRule="auto"/>
    </w:pPr>
    <w:rPr>
      <w:color w:val="68962D" w:themeColor="accent4" w:themeShade="BF"/>
    </w:rPr>
    <w:tblPr>
      <w:tblStyleRowBandSize w:val="1"/>
      <w:tblStyleColBandSize w:val="1"/>
      <w:tblBorders>
        <w:top w:val="single" w:sz="4" w:space="0" w:color="B9DC8C" w:themeColor="accent4" w:themeTint="99"/>
        <w:left w:val="single" w:sz="4" w:space="0" w:color="B9DC8C" w:themeColor="accent4" w:themeTint="99"/>
        <w:bottom w:val="single" w:sz="4" w:space="0" w:color="B9DC8C" w:themeColor="accent4" w:themeTint="99"/>
        <w:right w:val="single" w:sz="4" w:space="0" w:color="B9DC8C" w:themeColor="accent4" w:themeTint="99"/>
        <w:insideH w:val="single" w:sz="4" w:space="0" w:color="B9DC8C" w:themeColor="accent4" w:themeTint="99"/>
        <w:insideV w:val="single" w:sz="4" w:space="0" w:color="B9DC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3D8" w:themeFill="accent4" w:themeFillTint="33"/>
      </w:tcPr>
    </w:tblStylePr>
    <w:tblStylePr w:type="band1Horz">
      <w:tblPr/>
      <w:tcPr>
        <w:shd w:val="clear" w:color="auto" w:fill="E7F3D8" w:themeFill="accent4" w:themeFillTint="33"/>
      </w:tcPr>
    </w:tblStylePr>
    <w:tblStylePr w:type="neCell">
      <w:tblPr/>
      <w:tcPr>
        <w:tcBorders>
          <w:bottom w:val="single" w:sz="4" w:space="0" w:color="B9DC8C" w:themeColor="accent4" w:themeTint="99"/>
        </w:tcBorders>
      </w:tcPr>
    </w:tblStylePr>
    <w:tblStylePr w:type="nwCell">
      <w:tblPr/>
      <w:tcPr>
        <w:tcBorders>
          <w:bottom w:val="single" w:sz="4" w:space="0" w:color="B9DC8C" w:themeColor="accent4" w:themeTint="99"/>
        </w:tcBorders>
      </w:tcPr>
    </w:tblStylePr>
    <w:tblStylePr w:type="seCell">
      <w:tblPr/>
      <w:tcPr>
        <w:tcBorders>
          <w:top w:val="single" w:sz="4" w:space="0" w:color="B9DC8C" w:themeColor="accent4" w:themeTint="99"/>
        </w:tcBorders>
      </w:tcPr>
    </w:tblStylePr>
    <w:tblStylePr w:type="swCell">
      <w:tblPr/>
      <w:tcPr>
        <w:tcBorders>
          <w:top w:val="single" w:sz="4" w:space="0" w:color="B9DC8C" w:themeColor="accent4" w:themeTint="99"/>
        </w:tcBorders>
      </w:tcPr>
    </w:tblStylePr>
  </w:style>
  <w:style w:type="table" w:styleId="GridTable7Colorful-Accent5">
    <w:name w:val="Grid Table 7 Colorful Accent 5"/>
    <w:basedOn w:val="TableNormal"/>
    <w:uiPriority w:val="52"/>
    <w:rsid w:val="00DF0E94"/>
    <w:pPr>
      <w:spacing w:after="0" w:line="240" w:lineRule="auto"/>
    </w:pPr>
    <w:rPr>
      <w:color w:val="CD1019" w:themeColor="accent5" w:themeShade="BF"/>
    </w:rPr>
    <w:tblPr>
      <w:tblStyleRowBandSize w:val="1"/>
      <w:tblStyleColBandSize w:val="1"/>
      <w:tblBorders>
        <w:top w:val="single" w:sz="4" w:space="0" w:color="F5878C" w:themeColor="accent5" w:themeTint="99"/>
        <w:left w:val="single" w:sz="4" w:space="0" w:color="F5878C" w:themeColor="accent5" w:themeTint="99"/>
        <w:bottom w:val="single" w:sz="4" w:space="0" w:color="F5878C" w:themeColor="accent5" w:themeTint="99"/>
        <w:right w:val="single" w:sz="4" w:space="0" w:color="F5878C" w:themeColor="accent5" w:themeTint="99"/>
        <w:insideH w:val="single" w:sz="4" w:space="0" w:color="F5878C" w:themeColor="accent5" w:themeTint="99"/>
        <w:insideV w:val="single" w:sz="4" w:space="0" w:color="F5878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7D8" w:themeFill="accent5" w:themeFillTint="33"/>
      </w:tcPr>
    </w:tblStylePr>
    <w:tblStylePr w:type="band1Horz">
      <w:tblPr/>
      <w:tcPr>
        <w:shd w:val="clear" w:color="auto" w:fill="FBD7D8" w:themeFill="accent5" w:themeFillTint="33"/>
      </w:tcPr>
    </w:tblStylePr>
    <w:tblStylePr w:type="neCell">
      <w:tblPr/>
      <w:tcPr>
        <w:tcBorders>
          <w:bottom w:val="single" w:sz="4" w:space="0" w:color="F5878C" w:themeColor="accent5" w:themeTint="99"/>
        </w:tcBorders>
      </w:tcPr>
    </w:tblStylePr>
    <w:tblStylePr w:type="nwCell">
      <w:tblPr/>
      <w:tcPr>
        <w:tcBorders>
          <w:bottom w:val="single" w:sz="4" w:space="0" w:color="F5878C" w:themeColor="accent5" w:themeTint="99"/>
        </w:tcBorders>
      </w:tcPr>
    </w:tblStylePr>
    <w:tblStylePr w:type="seCell">
      <w:tblPr/>
      <w:tcPr>
        <w:tcBorders>
          <w:top w:val="single" w:sz="4" w:space="0" w:color="F5878C" w:themeColor="accent5" w:themeTint="99"/>
        </w:tcBorders>
      </w:tcPr>
    </w:tblStylePr>
    <w:tblStylePr w:type="swCell">
      <w:tblPr/>
      <w:tcPr>
        <w:tcBorders>
          <w:top w:val="single" w:sz="4" w:space="0" w:color="F5878C" w:themeColor="accent5" w:themeTint="99"/>
        </w:tcBorders>
      </w:tcPr>
    </w:tblStylePr>
  </w:style>
  <w:style w:type="table" w:styleId="GridTable7Colorful-Accent6">
    <w:name w:val="Grid Table 7 Colorful Accent 6"/>
    <w:basedOn w:val="TableNormal"/>
    <w:uiPriority w:val="52"/>
    <w:rsid w:val="00DF0E94"/>
    <w:pPr>
      <w:spacing w:after="0" w:line="240" w:lineRule="auto"/>
    </w:pPr>
    <w:rPr>
      <w:color w:val="BEA401" w:themeColor="accent6" w:themeShade="BF"/>
    </w:rPr>
    <w:tblPr>
      <w:tblStyleRowBandSize w:val="1"/>
      <w:tblStyleColBandSize w:val="1"/>
      <w:tblBorders>
        <w:top w:val="single" w:sz="4" w:space="0" w:color="FDE967" w:themeColor="accent6" w:themeTint="99"/>
        <w:left w:val="single" w:sz="4" w:space="0" w:color="FDE967" w:themeColor="accent6" w:themeTint="99"/>
        <w:bottom w:val="single" w:sz="4" w:space="0" w:color="FDE967" w:themeColor="accent6" w:themeTint="99"/>
        <w:right w:val="single" w:sz="4" w:space="0" w:color="FDE967" w:themeColor="accent6" w:themeTint="99"/>
        <w:insideH w:val="single" w:sz="4" w:space="0" w:color="FDE967" w:themeColor="accent6" w:themeTint="99"/>
        <w:insideV w:val="single" w:sz="4" w:space="0" w:color="FDE96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6" w:themeFillTint="33"/>
      </w:tcPr>
    </w:tblStylePr>
    <w:tblStylePr w:type="band1Horz">
      <w:tblPr/>
      <w:tcPr>
        <w:shd w:val="clear" w:color="auto" w:fill="FEF7CC" w:themeFill="accent6" w:themeFillTint="33"/>
      </w:tcPr>
    </w:tblStylePr>
    <w:tblStylePr w:type="neCell">
      <w:tblPr/>
      <w:tcPr>
        <w:tcBorders>
          <w:bottom w:val="single" w:sz="4" w:space="0" w:color="FDE967" w:themeColor="accent6" w:themeTint="99"/>
        </w:tcBorders>
      </w:tcPr>
    </w:tblStylePr>
    <w:tblStylePr w:type="nwCell">
      <w:tblPr/>
      <w:tcPr>
        <w:tcBorders>
          <w:bottom w:val="single" w:sz="4" w:space="0" w:color="FDE967" w:themeColor="accent6" w:themeTint="99"/>
        </w:tcBorders>
      </w:tcPr>
    </w:tblStylePr>
    <w:tblStylePr w:type="seCell">
      <w:tblPr/>
      <w:tcPr>
        <w:tcBorders>
          <w:top w:val="single" w:sz="4" w:space="0" w:color="FDE967" w:themeColor="accent6" w:themeTint="99"/>
        </w:tcBorders>
      </w:tcPr>
    </w:tblStylePr>
    <w:tblStylePr w:type="swCell">
      <w:tblPr/>
      <w:tcPr>
        <w:tcBorders>
          <w:top w:val="single" w:sz="4" w:space="0" w:color="FDE967" w:themeColor="accent6" w:themeTint="99"/>
        </w:tcBorders>
      </w:tcPr>
    </w:tblStylePr>
  </w:style>
  <w:style w:type="character" w:styleId="Hashtag">
    <w:name w:val="Hashtag"/>
    <w:basedOn w:val="DefaultParagraphFont"/>
    <w:uiPriority w:val="99"/>
    <w:semiHidden/>
    <w:unhideWhenUsed/>
    <w:rsid w:val="00DF0E94"/>
    <w:rPr>
      <w:color w:val="2B579A"/>
      <w:shd w:val="clear" w:color="auto" w:fill="E1DFDD"/>
    </w:rPr>
  </w:style>
  <w:style w:type="table" w:styleId="ListTable1Light">
    <w:name w:val="List Table 1 Light"/>
    <w:basedOn w:val="TableNormal"/>
    <w:uiPriority w:val="46"/>
    <w:rsid w:val="00DF0E9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F0E94"/>
    <w:pPr>
      <w:spacing w:after="0" w:line="240" w:lineRule="auto"/>
    </w:pPr>
    <w:tblPr>
      <w:tblStyleRowBandSize w:val="1"/>
      <w:tblStyleColBandSize w:val="1"/>
    </w:tblPr>
    <w:tblStylePr w:type="firstRow">
      <w:rPr>
        <w:b/>
        <w:bCs/>
      </w:rPr>
      <w:tblPr/>
      <w:tcPr>
        <w:tcBorders>
          <w:bottom w:val="single" w:sz="4" w:space="0" w:color="FDD074" w:themeColor="accent1" w:themeTint="99"/>
        </w:tcBorders>
      </w:tcPr>
    </w:tblStylePr>
    <w:tblStylePr w:type="lastRow">
      <w:rPr>
        <w:b/>
        <w:bCs/>
      </w:rPr>
      <w:tblPr/>
      <w:tcPr>
        <w:tcBorders>
          <w:top w:val="single" w:sz="4" w:space="0" w:color="FDD074" w:themeColor="accent1" w:themeTint="99"/>
        </w:tcBorders>
      </w:tcPr>
    </w:tblStylePr>
    <w:tblStylePr w:type="firstCol">
      <w:rPr>
        <w:b/>
        <w:bCs/>
      </w:rPr>
    </w:tblStylePr>
    <w:tblStylePr w:type="lastCol">
      <w:rPr>
        <w:b/>
        <w:bCs/>
      </w:rPr>
    </w:tblStylePr>
    <w:tblStylePr w:type="band1Vert">
      <w:tblPr/>
      <w:tcPr>
        <w:shd w:val="clear" w:color="auto" w:fill="FEEFD0" w:themeFill="accent1" w:themeFillTint="33"/>
      </w:tcPr>
    </w:tblStylePr>
    <w:tblStylePr w:type="band1Horz">
      <w:tblPr/>
      <w:tcPr>
        <w:shd w:val="clear" w:color="auto" w:fill="FEEFD0" w:themeFill="accent1" w:themeFillTint="33"/>
      </w:tcPr>
    </w:tblStylePr>
  </w:style>
  <w:style w:type="table" w:styleId="ListTable1Light-Accent2">
    <w:name w:val="List Table 1 Light Accent 2"/>
    <w:basedOn w:val="TableNormal"/>
    <w:uiPriority w:val="46"/>
    <w:rsid w:val="00DF0E94"/>
    <w:pPr>
      <w:spacing w:after="0" w:line="240" w:lineRule="auto"/>
    </w:pPr>
    <w:tblPr>
      <w:tblStyleRowBandSize w:val="1"/>
      <w:tblStyleColBandSize w:val="1"/>
    </w:tblPr>
    <w:tblStylePr w:type="firstRow">
      <w:rPr>
        <w:b/>
        <w:bCs/>
      </w:rPr>
      <w:tblPr/>
      <w:tcPr>
        <w:tcBorders>
          <w:bottom w:val="single" w:sz="4" w:space="0" w:color="F669B9" w:themeColor="accent2" w:themeTint="99"/>
        </w:tcBorders>
      </w:tcPr>
    </w:tblStylePr>
    <w:tblStylePr w:type="lastRow">
      <w:rPr>
        <w:b/>
        <w:bCs/>
      </w:rPr>
      <w:tblPr/>
      <w:tcPr>
        <w:tcBorders>
          <w:top w:val="single" w:sz="4" w:space="0" w:color="F669B9" w:themeColor="accent2" w:themeTint="99"/>
        </w:tcBorders>
      </w:tcPr>
    </w:tblStylePr>
    <w:tblStylePr w:type="firstCol">
      <w:rPr>
        <w:b/>
        <w:bCs/>
      </w:rPr>
    </w:tblStylePr>
    <w:tblStylePr w:type="lastCol">
      <w:rPr>
        <w:b/>
        <w:bCs/>
      </w:rPr>
    </w:tblStylePr>
    <w:tblStylePr w:type="band1Vert">
      <w:tblPr/>
      <w:tcPr>
        <w:shd w:val="clear" w:color="auto" w:fill="FCCDE7" w:themeFill="accent2" w:themeFillTint="33"/>
      </w:tcPr>
    </w:tblStylePr>
    <w:tblStylePr w:type="band1Horz">
      <w:tblPr/>
      <w:tcPr>
        <w:shd w:val="clear" w:color="auto" w:fill="FCCDE7" w:themeFill="accent2" w:themeFillTint="33"/>
      </w:tcPr>
    </w:tblStylePr>
  </w:style>
  <w:style w:type="table" w:styleId="ListTable1Light-Accent3">
    <w:name w:val="List Table 1 Light Accent 3"/>
    <w:basedOn w:val="TableNormal"/>
    <w:uiPriority w:val="46"/>
    <w:rsid w:val="00DF0E94"/>
    <w:pPr>
      <w:spacing w:after="0" w:line="240" w:lineRule="auto"/>
    </w:pPr>
    <w:tblPr>
      <w:tblStyleRowBandSize w:val="1"/>
      <w:tblStyleColBandSize w:val="1"/>
    </w:tblPr>
    <w:tblStylePr w:type="firstRow">
      <w:rPr>
        <w:b/>
        <w:bCs/>
      </w:rPr>
      <w:tblPr/>
      <w:tcPr>
        <w:tcBorders>
          <w:bottom w:val="single" w:sz="4" w:space="0" w:color="55DAFF" w:themeColor="accent3" w:themeTint="99"/>
        </w:tcBorders>
      </w:tcPr>
    </w:tblStylePr>
    <w:tblStylePr w:type="lastRow">
      <w:rPr>
        <w:b/>
        <w:bCs/>
      </w:rPr>
      <w:tblPr/>
      <w:tcPr>
        <w:tcBorders>
          <w:top w:val="single" w:sz="4" w:space="0" w:color="55DAFF" w:themeColor="accent3" w:themeTint="99"/>
        </w:tcBorders>
      </w:tcPr>
    </w:tblStylePr>
    <w:tblStylePr w:type="firstCol">
      <w:rPr>
        <w:b/>
        <w:bCs/>
      </w:rPr>
    </w:tblStylePr>
    <w:tblStylePr w:type="lastCol">
      <w:rPr>
        <w:b/>
        <w:bCs/>
      </w:rPr>
    </w:tblStylePr>
    <w:tblStylePr w:type="band1Vert">
      <w:tblPr/>
      <w:tcPr>
        <w:shd w:val="clear" w:color="auto" w:fill="C6F2FF" w:themeFill="accent3" w:themeFillTint="33"/>
      </w:tcPr>
    </w:tblStylePr>
    <w:tblStylePr w:type="band1Horz">
      <w:tblPr/>
      <w:tcPr>
        <w:shd w:val="clear" w:color="auto" w:fill="C6F2FF" w:themeFill="accent3" w:themeFillTint="33"/>
      </w:tcPr>
    </w:tblStylePr>
  </w:style>
  <w:style w:type="table" w:styleId="ListTable1Light-Accent4">
    <w:name w:val="List Table 1 Light Accent 4"/>
    <w:basedOn w:val="TableNormal"/>
    <w:uiPriority w:val="46"/>
    <w:rsid w:val="00DF0E94"/>
    <w:pPr>
      <w:spacing w:after="0" w:line="240" w:lineRule="auto"/>
    </w:pPr>
    <w:tblPr>
      <w:tblStyleRowBandSize w:val="1"/>
      <w:tblStyleColBandSize w:val="1"/>
    </w:tblPr>
    <w:tblStylePr w:type="firstRow">
      <w:rPr>
        <w:b/>
        <w:bCs/>
      </w:rPr>
      <w:tblPr/>
      <w:tcPr>
        <w:tcBorders>
          <w:bottom w:val="single" w:sz="4" w:space="0" w:color="B9DC8C" w:themeColor="accent4" w:themeTint="99"/>
        </w:tcBorders>
      </w:tcPr>
    </w:tblStylePr>
    <w:tblStylePr w:type="lastRow">
      <w:rPr>
        <w:b/>
        <w:bCs/>
      </w:rPr>
      <w:tblPr/>
      <w:tcPr>
        <w:tcBorders>
          <w:top w:val="single" w:sz="4" w:space="0" w:color="B9DC8C" w:themeColor="accent4" w:themeTint="99"/>
        </w:tcBorders>
      </w:tcPr>
    </w:tblStylePr>
    <w:tblStylePr w:type="firstCol">
      <w:rPr>
        <w:b/>
        <w:bCs/>
      </w:rPr>
    </w:tblStylePr>
    <w:tblStylePr w:type="lastCol">
      <w:rPr>
        <w:b/>
        <w:bCs/>
      </w:rPr>
    </w:tblStylePr>
    <w:tblStylePr w:type="band1Vert">
      <w:tblPr/>
      <w:tcPr>
        <w:shd w:val="clear" w:color="auto" w:fill="E7F3D8" w:themeFill="accent4" w:themeFillTint="33"/>
      </w:tcPr>
    </w:tblStylePr>
    <w:tblStylePr w:type="band1Horz">
      <w:tblPr/>
      <w:tcPr>
        <w:shd w:val="clear" w:color="auto" w:fill="E7F3D8" w:themeFill="accent4" w:themeFillTint="33"/>
      </w:tcPr>
    </w:tblStylePr>
  </w:style>
  <w:style w:type="table" w:styleId="ListTable1Light-Accent5">
    <w:name w:val="List Table 1 Light Accent 5"/>
    <w:basedOn w:val="TableNormal"/>
    <w:uiPriority w:val="46"/>
    <w:rsid w:val="00DF0E94"/>
    <w:pPr>
      <w:spacing w:after="0" w:line="240" w:lineRule="auto"/>
    </w:pPr>
    <w:tblPr>
      <w:tblStyleRowBandSize w:val="1"/>
      <w:tblStyleColBandSize w:val="1"/>
    </w:tblPr>
    <w:tblStylePr w:type="firstRow">
      <w:rPr>
        <w:b/>
        <w:bCs/>
      </w:rPr>
      <w:tblPr/>
      <w:tcPr>
        <w:tcBorders>
          <w:bottom w:val="single" w:sz="4" w:space="0" w:color="F5878C" w:themeColor="accent5" w:themeTint="99"/>
        </w:tcBorders>
      </w:tcPr>
    </w:tblStylePr>
    <w:tblStylePr w:type="lastRow">
      <w:rPr>
        <w:b/>
        <w:bCs/>
      </w:rPr>
      <w:tblPr/>
      <w:tcPr>
        <w:tcBorders>
          <w:top w:val="single" w:sz="4" w:space="0" w:color="F5878C" w:themeColor="accent5" w:themeTint="99"/>
        </w:tcBorders>
      </w:tcPr>
    </w:tblStylePr>
    <w:tblStylePr w:type="firstCol">
      <w:rPr>
        <w:b/>
        <w:bCs/>
      </w:rPr>
    </w:tblStylePr>
    <w:tblStylePr w:type="lastCol">
      <w:rPr>
        <w:b/>
        <w:bCs/>
      </w:rPr>
    </w:tblStylePr>
    <w:tblStylePr w:type="band1Vert">
      <w:tblPr/>
      <w:tcPr>
        <w:shd w:val="clear" w:color="auto" w:fill="FBD7D8" w:themeFill="accent5" w:themeFillTint="33"/>
      </w:tcPr>
    </w:tblStylePr>
    <w:tblStylePr w:type="band1Horz">
      <w:tblPr/>
      <w:tcPr>
        <w:shd w:val="clear" w:color="auto" w:fill="FBD7D8" w:themeFill="accent5" w:themeFillTint="33"/>
      </w:tcPr>
    </w:tblStylePr>
  </w:style>
  <w:style w:type="table" w:styleId="ListTable1Light-Accent6">
    <w:name w:val="List Table 1 Light Accent 6"/>
    <w:basedOn w:val="TableNormal"/>
    <w:uiPriority w:val="46"/>
    <w:rsid w:val="00DF0E94"/>
    <w:pPr>
      <w:spacing w:after="0" w:line="240" w:lineRule="auto"/>
    </w:pPr>
    <w:tblPr>
      <w:tblStyleRowBandSize w:val="1"/>
      <w:tblStyleColBandSize w:val="1"/>
    </w:tblPr>
    <w:tblStylePr w:type="firstRow">
      <w:rPr>
        <w:b/>
        <w:bCs/>
      </w:rPr>
      <w:tblPr/>
      <w:tcPr>
        <w:tcBorders>
          <w:bottom w:val="single" w:sz="4" w:space="0" w:color="FDE967" w:themeColor="accent6" w:themeTint="99"/>
        </w:tcBorders>
      </w:tcPr>
    </w:tblStylePr>
    <w:tblStylePr w:type="lastRow">
      <w:rPr>
        <w:b/>
        <w:bCs/>
      </w:rPr>
      <w:tblPr/>
      <w:tcPr>
        <w:tcBorders>
          <w:top w:val="single" w:sz="4" w:space="0" w:color="FDE967" w:themeColor="accent6" w:themeTint="99"/>
        </w:tcBorders>
      </w:tcPr>
    </w:tblStylePr>
    <w:tblStylePr w:type="firstCol">
      <w:rPr>
        <w:b/>
        <w:bCs/>
      </w:rPr>
    </w:tblStylePr>
    <w:tblStylePr w:type="lastCol">
      <w:rPr>
        <w:b/>
        <w:bCs/>
      </w:rPr>
    </w:tblStylePr>
    <w:tblStylePr w:type="band1Vert">
      <w:tblPr/>
      <w:tcPr>
        <w:shd w:val="clear" w:color="auto" w:fill="FEF7CC" w:themeFill="accent6" w:themeFillTint="33"/>
      </w:tcPr>
    </w:tblStylePr>
    <w:tblStylePr w:type="band1Horz">
      <w:tblPr/>
      <w:tcPr>
        <w:shd w:val="clear" w:color="auto" w:fill="FEF7CC" w:themeFill="accent6" w:themeFillTint="33"/>
      </w:tcPr>
    </w:tblStylePr>
  </w:style>
  <w:style w:type="table" w:styleId="ListTable2">
    <w:name w:val="List Table 2"/>
    <w:basedOn w:val="TableNormal"/>
    <w:uiPriority w:val="47"/>
    <w:rsid w:val="00DF0E9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F0E94"/>
    <w:pPr>
      <w:spacing w:after="0" w:line="240" w:lineRule="auto"/>
    </w:pPr>
    <w:tblPr>
      <w:tblStyleRowBandSize w:val="1"/>
      <w:tblStyleColBandSize w:val="1"/>
      <w:tblBorders>
        <w:top w:val="single" w:sz="4" w:space="0" w:color="FDD074" w:themeColor="accent1" w:themeTint="99"/>
        <w:bottom w:val="single" w:sz="4" w:space="0" w:color="FDD074" w:themeColor="accent1" w:themeTint="99"/>
        <w:insideH w:val="single" w:sz="4" w:space="0" w:color="FDD07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FD0" w:themeFill="accent1" w:themeFillTint="33"/>
      </w:tcPr>
    </w:tblStylePr>
    <w:tblStylePr w:type="band1Horz">
      <w:tblPr/>
      <w:tcPr>
        <w:shd w:val="clear" w:color="auto" w:fill="FEEFD0" w:themeFill="accent1" w:themeFillTint="33"/>
      </w:tcPr>
    </w:tblStylePr>
  </w:style>
  <w:style w:type="table" w:styleId="ListTable2-Accent2">
    <w:name w:val="List Table 2 Accent 2"/>
    <w:basedOn w:val="TableNormal"/>
    <w:uiPriority w:val="47"/>
    <w:rsid w:val="00DF0E94"/>
    <w:pPr>
      <w:spacing w:after="0" w:line="240" w:lineRule="auto"/>
    </w:pPr>
    <w:tblPr>
      <w:tblStyleRowBandSize w:val="1"/>
      <w:tblStyleColBandSize w:val="1"/>
      <w:tblBorders>
        <w:top w:val="single" w:sz="4" w:space="0" w:color="F669B9" w:themeColor="accent2" w:themeTint="99"/>
        <w:bottom w:val="single" w:sz="4" w:space="0" w:color="F669B9" w:themeColor="accent2" w:themeTint="99"/>
        <w:insideH w:val="single" w:sz="4" w:space="0" w:color="F669B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CDE7" w:themeFill="accent2" w:themeFillTint="33"/>
      </w:tcPr>
    </w:tblStylePr>
    <w:tblStylePr w:type="band1Horz">
      <w:tblPr/>
      <w:tcPr>
        <w:shd w:val="clear" w:color="auto" w:fill="FCCDE7" w:themeFill="accent2" w:themeFillTint="33"/>
      </w:tcPr>
    </w:tblStylePr>
  </w:style>
  <w:style w:type="table" w:styleId="ListTable2-Accent3">
    <w:name w:val="List Table 2 Accent 3"/>
    <w:basedOn w:val="TableNormal"/>
    <w:uiPriority w:val="47"/>
    <w:rsid w:val="00DF0E94"/>
    <w:pPr>
      <w:spacing w:after="0" w:line="240" w:lineRule="auto"/>
    </w:pPr>
    <w:tblPr>
      <w:tblStyleRowBandSize w:val="1"/>
      <w:tblStyleColBandSize w:val="1"/>
      <w:tblBorders>
        <w:top w:val="single" w:sz="4" w:space="0" w:color="55DAFF" w:themeColor="accent3" w:themeTint="99"/>
        <w:bottom w:val="single" w:sz="4" w:space="0" w:color="55DAFF" w:themeColor="accent3" w:themeTint="99"/>
        <w:insideH w:val="single" w:sz="4" w:space="0" w:color="55DA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F2FF" w:themeFill="accent3" w:themeFillTint="33"/>
      </w:tcPr>
    </w:tblStylePr>
    <w:tblStylePr w:type="band1Horz">
      <w:tblPr/>
      <w:tcPr>
        <w:shd w:val="clear" w:color="auto" w:fill="C6F2FF" w:themeFill="accent3" w:themeFillTint="33"/>
      </w:tcPr>
    </w:tblStylePr>
  </w:style>
  <w:style w:type="table" w:styleId="ListTable2-Accent4">
    <w:name w:val="List Table 2 Accent 4"/>
    <w:basedOn w:val="TableNormal"/>
    <w:uiPriority w:val="47"/>
    <w:rsid w:val="00DF0E94"/>
    <w:pPr>
      <w:spacing w:after="0" w:line="240" w:lineRule="auto"/>
    </w:pPr>
    <w:tblPr>
      <w:tblStyleRowBandSize w:val="1"/>
      <w:tblStyleColBandSize w:val="1"/>
      <w:tblBorders>
        <w:top w:val="single" w:sz="4" w:space="0" w:color="B9DC8C" w:themeColor="accent4" w:themeTint="99"/>
        <w:bottom w:val="single" w:sz="4" w:space="0" w:color="B9DC8C" w:themeColor="accent4" w:themeTint="99"/>
        <w:insideH w:val="single" w:sz="4" w:space="0" w:color="B9DC8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3D8" w:themeFill="accent4" w:themeFillTint="33"/>
      </w:tcPr>
    </w:tblStylePr>
    <w:tblStylePr w:type="band1Horz">
      <w:tblPr/>
      <w:tcPr>
        <w:shd w:val="clear" w:color="auto" w:fill="E7F3D8" w:themeFill="accent4" w:themeFillTint="33"/>
      </w:tcPr>
    </w:tblStylePr>
  </w:style>
  <w:style w:type="table" w:styleId="ListTable2-Accent5">
    <w:name w:val="List Table 2 Accent 5"/>
    <w:basedOn w:val="TableNormal"/>
    <w:uiPriority w:val="47"/>
    <w:rsid w:val="00DF0E94"/>
    <w:pPr>
      <w:spacing w:after="0" w:line="240" w:lineRule="auto"/>
    </w:pPr>
    <w:tblPr>
      <w:tblStyleRowBandSize w:val="1"/>
      <w:tblStyleColBandSize w:val="1"/>
      <w:tblBorders>
        <w:top w:val="single" w:sz="4" w:space="0" w:color="F5878C" w:themeColor="accent5" w:themeTint="99"/>
        <w:bottom w:val="single" w:sz="4" w:space="0" w:color="F5878C" w:themeColor="accent5" w:themeTint="99"/>
        <w:insideH w:val="single" w:sz="4" w:space="0" w:color="F5878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7D8" w:themeFill="accent5" w:themeFillTint="33"/>
      </w:tcPr>
    </w:tblStylePr>
    <w:tblStylePr w:type="band1Horz">
      <w:tblPr/>
      <w:tcPr>
        <w:shd w:val="clear" w:color="auto" w:fill="FBD7D8" w:themeFill="accent5" w:themeFillTint="33"/>
      </w:tcPr>
    </w:tblStylePr>
  </w:style>
  <w:style w:type="table" w:styleId="ListTable2-Accent6">
    <w:name w:val="List Table 2 Accent 6"/>
    <w:basedOn w:val="TableNormal"/>
    <w:uiPriority w:val="47"/>
    <w:rsid w:val="00DF0E94"/>
    <w:pPr>
      <w:spacing w:after="0" w:line="240" w:lineRule="auto"/>
    </w:pPr>
    <w:tblPr>
      <w:tblStyleRowBandSize w:val="1"/>
      <w:tblStyleColBandSize w:val="1"/>
      <w:tblBorders>
        <w:top w:val="single" w:sz="4" w:space="0" w:color="FDE967" w:themeColor="accent6" w:themeTint="99"/>
        <w:bottom w:val="single" w:sz="4" w:space="0" w:color="FDE967" w:themeColor="accent6" w:themeTint="99"/>
        <w:insideH w:val="single" w:sz="4" w:space="0" w:color="FDE96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7CC" w:themeFill="accent6" w:themeFillTint="33"/>
      </w:tcPr>
    </w:tblStylePr>
    <w:tblStylePr w:type="band1Horz">
      <w:tblPr/>
      <w:tcPr>
        <w:shd w:val="clear" w:color="auto" w:fill="FEF7CC" w:themeFill="accent6" w:themeFillTint="33"/>
      </w:tcPr>
    </w:tblStylePr>
  </w:style>
  <w:style w:type="table" w:styleId="ListTable3">
    <w:name w:val="List Table 3"/>
    <w:basedOn w:val="TableNormal"/>
    <w:uiPriority w:val="48"/>
    <w:rsid w:val="00DF0E9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F0E94"/>
    <w:pPr>
      <w:spacing w:after="0" w:line="240" w:lineRule="auto"/>
    </w:pPr>
    <w:tblPr>
      <w:tblStyleRowBandSize w:val="1"/>
      <w:tblStyleColBandSize w:val="1"/>
      <w:tblBorders>
        <w:top w:val="single" w:sz="4" w:space="0" w:color="FCB319" w:themeColor="accent1"/>
        <w:left w:val="single" w:sz="4" w:space="0" w:color="FCB319" w:themeColor="accent1"/>
        <w:bottom w:val="single" w:sz="4" w:space="0" w:color="FCB319" w:themeColor="accent1"/>
        <w:right w:val="single" w:sz="4" w:space="0" w:color="FCB319" w:themeColor="accent1"/>
      </w:tblBorders>
    </w:tblPr>
    <w:tblStylePr w:type="firstRow">
      <w:rPr>
        <w:b/>
        <w:bCs/>
        <w:color w:val="FFFFFF" w:themeColor="background1"/>
      </w:rPr>
      <w:tblPr/>
      <w:tcPr>
        <w:shd w:val="clear" w:color="auto" w:fill="FCB319" w:themeFill="accent1"/>
      </w:tcPr>
    </w:tblStylePr>
    <w:tblStylePr w:type="lastRow">
      <w:rPr>
        <w:b/>
        <w:bCs/>
      </w:rPr>
      <w:tblPr/>
      <w:tcPr>
        <w:tcBorders>
          <w:top w:val="double" w:sz="4" w:space="0" w:color="FCB31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B319" w:themeColor="accent1"/>
          <w:right w:val="single" w:sz="4" w:space="0" w:color="FCB319" w:themeColor="accent1"/>
        </w:tcBorders>
      </w:tcPr>
    </w:tblStylePr>
    <w:tblStylePr w:type="band1Horz">
      <w:tblPr/>
      <w:tcPr>
        <w:tcBorders>
          <w:top w:val="single" w:sz="4" w:space="0" w:color="FCB319" w:themeColor="accent1"/>
          <w:bottom w:val="single" w:sz="4" w:space="0" w:color="FCB31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B319" w:themeColor="accent1"/>
          <w:left w:val="nil"/>
        </w:tcBorders>
      </w:tcPr>
    </w:tblStylePr>
    <w:tblStylePr w:type="swCell">
      <w:tblPr/>
      <w:tcPr>
        <w:tcBorders>
          <w:top w:val="double" w:sz="4" w:space="0" w:color="FCB319" w:themeColor="accent1"/>
          <w:right w:val="nil"/>
        </w:tcBorders>
      </w:tcPr>
    </w:tblStylePr>
  </w:style>
  <w:style w:type="table" w:styleId="ListTable3-Accent2">
    <w:name w:val="List Table 3 Accent 2"/>
    <w:basedOn w:val="TableNormal"/>
    <w:uiPriority w:val="48"/>
    <w:rsid w:val="00DF0E94"/>
    <w:pPr>
      <w:spacing w:after="0" w:line="240" w:lineRule="auto"/>
    </w:pPr>
    <w:tblPr>
      <w:tblStyleRowBandSize w:val="1"/>
      <w:tblStyleColBandSize w:val="1"/>
      <w:tblBorders>
        <w:top w:val="single" w:sz="4" w:space="0" w:color="E70E8A" w:themeColor="accent2"/>
        <w:left w:val="single" w:sz="4" w:space="0" w:color="E70E8A" w:themeColor="accent2"/>
        <w:bottom w:val="single" w:sz="4" w:space="0" w:color="E70E8A" w:themeColor="accent2"/>
        <w:right w:val="single" w:sz="4" w:space="0" w:color="E70E8A" w:themeColor="accent2"/>
      </w:tblBorders>
    </w:tblPr>
    <w:tblStylePr w:type="firstRow">
      <w:rPr>
        <w:b/>
        <w:bCs/>
        <w:color w:val="FFFFFF" w:themeColor="background1"/>
      </w:rPr>
      <w:tblPr/>
      <w:tcPr>
        <w:shd w:val="clear" w:color="auto" w:fill="E70E8A" w:themeFill="accent2"/>
      </w:tcPr>
    </w:tblStylePr>
    <w:tblStylePr w:type="lastRow">
      <w:rPr>
        <w:b/>
        <w:bCs/>
      </w:rPr>
      <w:tblPr/>
      <w:tcPr>
        <w:tcBorders>
          <w:top w:val="double" w:sz="4" w:space="0" w:color="E70E8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0E8A" w:themeColor="accent2"/>
          <w:right w:val="single" w:sz="4" w:space="0" w:color="E70E8A" w:themeColor="accent2"/>
        </w:tcBorders>
      </w:tcPr>
    </w:tblStylePr>
    <w:tblStylePr w:type="band1Horz">
      <w:tblPr/>
      <w:tcPr>
        <w:tcBorders>
          <w:top w:val="single" w:sz="4" w:space="0" w:color="E70E8A" w:themeColor="accent2"/>
          <w:bottom w:val="single" w:sz="4" w:space="0" w:color="E70E8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0E8A" w:themeColor="accent2"/>
          <w:left w:val="nil"/>
        </w:tcBorders>
      </w:tcPr>
    </w:tblStylePr>
    <w:tblStylePr w:type="swCell">
      <w:tblPr/>
      <w:tcPr>
        <w:tcBorders>
          <w:top w:val="double" w:sz="4" w:space="0" w:color="E70E8A" w:themeColor="accent2"/>
          <w:right w:val="nil"/>
        </w:tcBorders>
      </w:tcPr>
    </w:tblStylePr>
  </w:style>
  <w:style w:type="table" w:styleId="ListTable3-Accent3">
    <w:name w:val="List Table 3 Accent 3"/>
    <w:basedOn w:val="TableNormal"/>
    <w:uiPriority w:val="48"/>
    <w:rsid w:val="00DF0E94"/>
    <w:pPr>
      <w:spacing w:after="0" w:line="240" w:lineRule="auto"/>
    </w:pPr>
    <w:tblPr>
      <w:tblStyleRowBandSize w:val="1"/>
      <w:tblStyleColBandSize w:val="1"/>
      <w:tblBorders>
        <w:top w:val="single" w:sz="4" w:space="0" w:color="00B3E4" w:themeColor="accent3"/>
        <w:left w:val="single" w:sz="4" w:space="0" w:color="00B3E4" w:themeColor="accent3"/>
        <w:bottom w:val="single" w:sz="4" w:space="0" w:color="00B3E4" w:themeColor="accent3"/>
        <w:right w:val="single" w:sz="4" w:space="0" w:color="00B3E4" w:themeColor="accent3"/>
      </w:tblBorders>
    </w:tblPr>
    <w:tblStylePr w:type="firstRow">
      <w:rPr>
        <w:b/>
        <w:bCs/>
        <w:color w:val="FFFFFF" w:themeColor="background1"/>
      </w:rPr>
      <w:tblPr/>
      <w:tcPr>
        <w:shd w:val="clear" w:color="auto" w:fill="00B3E4" w:themeFill="accent3"/>
      </w:tcPr>
    </w:tblStylePr>
    <w:tblStylePr w:type="lastRow">
      <w:rPr>
        <w:b/>
        <w:bCs/>
      </w:rPr>
      <w:tblPr/>
      <w:tcPr>
        <w:tcBorders>
          <w:top w:val="double" w:sz="4" w:space="0" w:color="00B3E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3E4" w:themeColor="accent3"/>
          <w:right w:val="single" w:sz="4" w:space="0" w:color="00B3E4" w:themeColor="accent3"/>
        </w:tcBorders>
      </w:tcPr>
    </w:tblStylePr>
    <w:tblStylePr w:type="band1Horz">
      <w:tblPr/>
      <w:tcPr>
        <w:tcBorders>
          <w:top w:val="single" w:sz="4" w:space="0" w:color="00B3E4" w:themeColor="accent3"/>
          <w:bottom w:val="single" w:sz="4" w:space="0" w:color="00B3E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3E4" w:themeColor="accent3"/>
          <w:left w:val="nil"/>
        </w:tcBorders>
      </w:tcPr>
    </w:tblStylePr>
    <w:tblStylePr w:type="swCell">
      <w:tblPr/>
      <w:tcPr>
        <w:tcBorders>
          <w:top w:val="double" w:sz="4" w:space="0" w:color="00B3E4" w:themeColor="accent3"/>
          <w:right w:val="nil"/>
        </w:tcBorders>
      </w:tcPr>
    </w:tblStylePr>
  </w:style>
  <w:style w:type="table" w:styleId="ListTable3-Accent4">
    <w:name w:val="List Table 3 Accent 4"/>
    <w:basedOn w:val="TableNormal"/>
    <w:uiPriority w:val="48"/>
    <w:rsid w:val="00DF0E94"/>
    <w:pPr>
      <w:spacing w:after="0" w:line="240" w:lineRule="auto"/>
    </w:pPr>
    <w:tblPr>
      <w:tblStyleRowBandSize w:val="1"/>
      <w:tblStyleColBandSize w:val="1"/>
      <w:tblBorders>
        <w:top w:val="single" w:sz="4" w:space="0" w:color="8BC640" w:themeColor="accent4"/>
        <w:left w:val="single" w:sz="4" w:space="0" w:color="8BC640" w:themeColor="accent4"/>
        <w:bottom w:val="single" w:sz="4" w:space="0" w:color="8BC640" w:themeColor="accent4"/>
        <w:right w:val="single" w:sz="4" w:space="0" w:color="8BC640" w:themeColor="accent4"/>
      </w:tblBorders>
    </w:tblPr>
    <w:tblStylePr w:type="firstRow">
      <w:rPr>
        <w:b/>
        <w:bCs/>
        <w:color w:val="FFFFFF" w:themeColor="background1"/>
      </w:rPr>
      <w:tblPr/>
      <w:tcPr>
        <w:shd w:val="clear" w:color="auto" w:fill="8BC640" w:themeFill="accent4"/>
      </w:tcPr>
    </w:tblStylePr>
    <w:tblStylePr w:type="lastRow">
      <w:rPr>
        <w:b/>
        <w:bCs/>
      </w:rPr>
      <w:tblPr/>
      <w:tcPr>
        <w:tcBorders>
          <w:top w:val="double" w:sz="4" w:space="0" w:color="8BC6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BC640" w:themeColor="accent4"/>
          <w:right w:val="single" w:sz="4" w:space="0" w:color="8BC640" w:themeColor="accent4"/>
        </w:tcBorders>
      </w:tcPr>
    </w:tblStylePr>
    <w:tblStylePr w:type="band1Horz">
      <w:tblPr/>
      <w:tcPr>
        <w:tcBorders>
          <w:top w:val="single" w:sz="4" w:space="0" w:color="8BC640" w:themeColor="accent4"/>
          <w:bottom w:val="single" w:sz="4" w:space="0" w:color="8BC6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BC640" w:themeColor="accent4"/>
          <w:left w:val="nil"/>
        </w:tcBorders>
      </w:tcPr>
    </w:tblStylePr>
    <w:tblStylePr w:type="swCell">
      <w:tblPr/>
      <w:tcPr>
        <w:tcBorders>
          <w:top w:val="double" w:sz="4" w:space="0" w:color="8BC640" w:themeColor="accent4"/>
          <w:right w:val="nil"/>
        </w:tcBorders>
      </w:tcPr>
    </w:tblStylePr>
  </w:style>
  <w:style w:type="table" w:styleId="ListTable3-Accent5">
    <w:name w:val="List Table 3 Accent 5"/>
    <w:basedOn w:val="TableNormal"/>
    <w:uiPriority w:val="48"/>
    <w:rsid w:val="00DF0E94"/>
    <w:pPr>
      <w:spacing w:after="0" w:line="240" w:lineRule="auto"/>
    </w:pPr>
    <w:tblPr>
      <w:tblStyleRowBandSize w:val="1"/>
      <w:tblStyleColBandSize w:val="1"/>
      <w:tblBorders>
        <w:top w:val="single" w:sz="4" w:space="0" w:color="EF3942" w:themeColor="accent5"/>
        <w:left w:val="single" w:sz="4" w:space="0" w:color="EF3942" w:themeColor="accent5"/>
        <w:bottom w:val="single" w:sz="4" w:space="0" w:color="EF3942" w:themeColor="accent5"/>
        <w:right w:val="single" w:sz="4" w:space="0" w:color="EF3942" w:themeColor="accent5"/>
      </w:tblBorders>
    </w:tblPr>
    <w:tblStylePr w:type="firstRow">
      <w:rPr>
        <w:b/>
        <w:bCs/>
        <w:color w:val="FFFFFF" w:themeColor="background1"/>
      </w:rPr>
      <w:tblPr/>
      <w:tcPr>
        <w:shd w:val="clear" w:color="auto" w:fill="EF3942" w:themeFill="accent5"/>
      </w:tcPr>
    </w:tblStylePr>
    <w:tblStylePr w:type="lastRow">
      <w:rPr>
        <w:b/>
        <w:bCs/>
      </w:rPr>
      <w:tblPr/>
      <w:tcPr>
        <w:tcBorders>
          <w:top w:val="double" w:sz="4" w:space="0" w:color="EF39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3942" w:themeColor="accent5"/>
          <w:right w:val="single" w:sz="4" w:space="0" w:color="EF3942" w:themeColor="accent5"/>
        </w:tcBorders>
      </w:tcPr>
    </w:tblStylePr>
    <w:tblStylePr w:type="band1Horz">
      <w:tblPr/>
      <w:tcPr>
        <w:tcBorders>
          <w:top w:val="single" w:sz="4" w:space="0" w:color="EF3942" w:themeColor="accent5"/>
          <w:bottom w:val="single" w:sz="4" w:space="0" w:color="EF39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3942" w:themeColor="accent5"/>
          <w:left w:val="nil"/>
        </w:tcBorders>
      </w:tcPr>
    </w:tblStylePr>
    <w:tblStylePr w:type="swCell">
      <w:tblPr/>
      <w:tcPr>
        <w:tcBorders>
          <w:top w:val="double" w:sz="4" w:space="0" w:color="EF3942" w:themeColor="accent5"/>
          <w:right w:val="nil"/>
        </w:tcBorders>
      </w:tcPr>
    </w:tblStylePr>
  </w:style>
  <w:style w:type="table" w:styleId="ListTable3-Accent6">
    <w:name w:val="List Table 3 Accent 6"/>
    <w:basedOn w:val="TableNormal"/>
    <w:uiPriority w:val="48"/>
    <w:rsid w:val="00DF0E94"/>
    <w:pPr>
      <w:spacing w:after="0" w:line="240" w:lineRule="auto"/>
    </w:pPr>
    <w:tblPr>
      <w:tblStyleRowBandSize w:val="1"/>
      <w:tblStyleColBandSize w:val="1"/>
      <w:tblBorders>
        <w:top w:val="single" w:sz="4" w:space="0" w:color="FDDB03" w:themeColor="accent6"/>
        <w:left w:val="single" w:sz="4" w:space="0" w:color="FDDB03" w:themeColor="accent6"/>
        <w:bottom w:val="single" w:sz="4" w:space="0" w:color="FDDB03" w:themeColor="accent6"/>
        <w:right w:val="single" w:sz="4" w:space="0" w:color="FDDB03" w:themeColor="accent6"/>
      </w:tblBorders>
    </w:tblPr>
    <w:tblStylePr w:type="firstRow">
      <w:rPr>
        <w:b/>
        <w:bCs/>
        <w:color w:val="FFFFFF" w:themeColor="background1"/>
      </w:rPr>
      <w:tblPr/>
      <w:tcPr>
        <w:shd w:val="clear" w:color="auto" w:fill="FDDB03" w:themeFill="accent6"/>
      </w:tcPr>
    </w:tblStylePr>
    <w:tblStylePr w:type="lastRow">
      <w:rPr>
        <w:b/>
        <w:bCs/>
      </w:rPr>
      <w:tblPr/>
      <w:tcPr>
        <w:tcBorders>
          <w:top w:val="double" w:sz="4" w:space="0" w:color="FDDB0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DB03" w:themeColor="accent6"/>
          <w:right w:val="single" w:sz="4" w:space="0" w:color="FDDB03" w:themeColor="accent6"/>
        </w:tcBorders>
      </w:tcPr>
    </w:tblStylePr>
    <w:tblStylePr w:type="band1Horz">
      <w:tblPr/>
      <w:tcPr>
        <w:tcBorders>
          <w:top w:val="single" w:sz="4" w:space="0" w:color="FDDB03" w:themeColor="accent6"/>
          <w:bottom w:val="single" w:sz="4" w:space="0" w:color="FDDB0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DB03" w:themeColor="accent6"/>
          <w:left w:val="nil"/>
        </w:tcBorders>
      </w:tcPr>
    </w:tblStylePr>
    <w:tblStylePr w:type="swCell">
      <w:tblPr/>
      <w:tcPr>
        <w:tcBorders>
          <w:top w:val="double" w:sz="4" w:space="0" w:color="FDDB03" w:themeColor="accent6"/>
          <w:right w:val="nil"/>
        </w:tcBorders>
      </w:tcPr>
    </w:tblStylePr>
  </w:style>
  <w:style w:type="table" w:styleId="ListTable4">
    <w:name w:val="List Table 4"/>
    <w:basedOn w:val="TableNormal"/>
    <w:uiPriority w:val="49"/>
    <w:rsid w:val="00DF0E9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F0E94"/>
    <w:pPr>
      <w:spacing w:after="0" w:line="240" w:lineRule="auto"/>
    </w:pPr>
    <w:tblPr>
      <w:tblStyleRowBandSize w:val="1"/>
      <w:tblStyleColBandSize w:val="1"/>
      <w:tblBorders>
        <w:top w:val="single" w:sz="4" w:space="0" w:color="FDD074" w:themeColor="accent1" w:themeTint="99"/>
        <w:left w:val="single" w:sz="4" w:space="0" w:color="FDD074" w:themeColor="accent1" w:themeTint="99"/>
        <w:bottom w:val="single" w:sz="4" w:space="0" w:color="FDD074" w:themeColor="accent1" w:themeTint="99"/>
        <w:right w:val="single" w:sz="4" w:space="0" w:color="FDD074" w:themeColor="accent1" w:themeTint="99"/>
        <w:insideH w:val="single" w:sz="4" w:space="0" w:color="FDD074" w:themeColor="accent1" w:themeTint="99"/>
      </w:tblBorders>
    </w:tblPr>
    <w:tblStylePr w:type="firstRow">
      <w:rPr>
        <w:b/>
        <w:bCs/>
        <w:color w:val="FFFFFF" w:themeColor="background1"/>
      </w:rPr>
      <w:tblPr/>
      <w:tcPr>
        <w:tcBorders>
          <w:top w:val="single" w:sz="4" w:space="0" w:color="FCB319" w:themeColor="accent1"/>
          <w:left w:val="single" w:sz="4" w:space="0" w:color="FCB319" w:themeColor="accent1"/>
          <w:bottom w:val="single" w:sz="4" w:space="0" w:color="FCB319" w:themeColor="accent1"/>
          <w:right w:val="single" w:sz="4" w:space="0" w:color="FCB319" w:themeColor="accent1"/>
          <w:insideH w:val="nil"/>
        </w:tcBorders>
        <w:shd w:val="clear" w:color="auto" w:fill="FCB319" w:themeFill="accent1"/>
      </w:tcPr>
    </w:tblStylePr>
    <w:tblStylePr w:type="lastRow">
      <w:rPr>
        <w:b/>
        <w:bCs/>
      </w:rPr>
      <w:tblPr/>
      <w:tcPr>
        <w:tcBorders>
          <w:top w:val="double" w:sz="4" w:space="0" w:color="FDD074" w:themeColor="accent1" w:themeTint="99"/>
        </w:tcBorders>
      </w:tcPr>
    </w:tblStylePr>
    <w:tblStylePr w:type="firstCol">
      <w:rPr>
        <w:b/>
        <w:bCs/>
      </w:rPr>
    </w:tblStylePr>
    <w:tblStylePr w:type="lastCol">
      <w:rPr>
        <w:b/>
        <w:bCs/>
      </w:rPr>
    </w:tblStylePr>
    <w:tblStylePr w:type="band1Vert">
      <w:tblPr/>
      <w:tcPr>
        <w:shd w:val="clear" w:color="auto" w:fill="FEEFD0" w:themeFill="accent1" w:themeFillTint="33"/>
      </w:tcPr>
    </w:tblStylePr>
    <w:tblStylePr w:type="band1Horz">
      <w:tblPr/>
      <w:tcPr>
        <w:shd w:val="clear" w:color="auto" w:fill="FEEFD0" w:themeFill="accent1" w:themeFillTint="33"/>
      </w:tcPr>
    </w:tblStylePr>
  </w:style>
  <w:style w:type="table" w:styleId="ListTable4-Accent2">
    <w:name w:val="List Table 4 Accent 2"/>
    <w:basedOn w:val="TableNormal"/>
    <w:uiPriority w:val="49"/>
    <w:rsid w:val="00DF0E94"/>
    <w:pPr>
      <w:spacing w:after="0" w:line="240" w:lineRule="auto"/>
    </w:pPr>
    <w:tblPr>
      <w:tblStyleRowBandSize w:val="1"/>
      <w:tblStyleColBandSize w:val="1"/>
      <w:tblBorders>
        <w:top w:val="single" w:sz="4" w:space="0" w:color="F669B9" w:themeColor="accent2" w:themeTint="99"/>
        <w:left w:val="single" w:sz="4" w:space="0" w:color="F669B9" w:themeColor="accent2" w:themeTint="99"/>
        <w:bottom w:val="single" w:sz="4" w:space="0" w:color="F669B9" w:themeColor="accent2" w:themeTint="99"/>
        <w:right w:val="single" w:sz="4" w:space="0" w:color="F669B9" w:themeColor="accent2" w:themeTint="99"/>
        <w:insideH w:val="single" w:sz="4" w:space="0" w:color="F669B9" w:themeColor="accent2" w:themeTint="99"/>
      </w:tblBorders>
    </w:tblPr>
    <w:tblStylePr w:type="firstRow">
      <w:rPr>
        <w:b/>
        <w:bCs/>
        <w:color w:val="FFFFFF" w:themeColor="background1"/>
      </w:rPr>
      <w:tblPr/>
      <w:tcPr>
        <w:tcBorders>
          <w:top w:val="single" w:sz="4" w:space="0" w:color="E70E8A" w:themeColor="accent2"/>
          <w:left w:val="single" w:sz="4" w:space="0" w:color="E70E8A" w:themeColor="accent2"/>
          <w:bottom w:val="single" w:sz="4" w:space="0" w:color="E70E8A" w:themeColor="accent2"/>
          <w:right w:val="single" w:sz="4" w:space="0" w:color="E70E8A" w:themeColor="accent2"/>
          <w:insideH w:val="nil"/>
        </w:tcBorders>
        <w:shd w:val="clear" w:color="auto" w:fill="E70E8A" w:themeFill="accent2"/>
      </w:tcPr>
    </w:tblStylePr>
    <w:tblStylePr w:type="lastRow">
      <w:rPr>
        <w:b/>
        <w:bCs/>
      </w:rPr>
      <w:tblPr/>
      <w:tcPr>
        <w:tcBorders>
          <w:top w:val="double" w:sz="4" w:space="0" w:color="F669B9" w:themeColor="accent2" w:themeTint="99"/>
        </w:tcBorders>
      </w:tcPr>
    </w:tblStylePr>
    <w:tblStylePr w:type="firstCol">
      <w:rPr>
        <w:b/>
        <w:bCs/>
      </w:rPr>
    </w:tblStylePr>
    <w:tblStylePr w:type="lastCol">
      <w:rPr>
        <w:b/>
        <w:bCs/>
      </w:rPr>
    </w:tblStylePr>
    <w:tblStylePr w:type="band1Vert">
      <w:tblPr/>
      <w:tcPr>
        <w:shd w:val="clear" w:color="auto" w:fill="FCCDE7" w:themeFill="accent2" w:themeFillTint="33"/>
      </w:tcPr>
    </w:tblStylePr>
    <w:tblStylePr w:type="band1Horz">
      <w:tblPr/>
      <w:tcPr>
        <w:shd w:val="clear" w:color="auto" w:fill="FCCDE7" w:themeFill="accent2" w:themeFillTint="33"/>
      </w:tcPr>
    </w:tblStylePr>
  </w:style>
  <w:style w:type="table" w:styleId="ListTable4-Accent3">
    <w:name w:val="List Table 4 Accent 3"/>
    <w:basedOn w:val="TableNormal"/>
    <w:uiPriority w:val="49"/>
    <w:rsid w:val="00DF0E94"/>
    <w:pPr>
      <w:spacing w:after="0" w:line="240" w:lineRule="auto"/>
    </w:pPr>
    <w:tblPr>
      <w:tblStyleRowBandSize w:val="1"/>
      <w:tblStyleColBandSize w:val="1"/>
      <w:tblBorders>
        <w:top w:val="single" w:sz="4" w:space="0" w:color="55DAFF" w:themeColor="accent3" w:themeTint="99"/>
        <w:left w:val="single" w:sz="4" w:space="0" w:color="55DAFF" w:themeColor="accent3" w:themeTint="99"/>
        <w:bottom w:val="single" w:sz="4" w:space="0" w:color="55DAFF" w:themeColor="accent3" w:themeTint="99"/>
        <w:right w:val="single" w:sz="4" w:space="0" w:color="55DAFF" w:themeColor="accent3" w:themeTint="99"/>
        <w:insideH w:val="single" w:sz="4" w:space="0" w:color="55DAFF" w:themeColor="accent3" w:themeTint="99"/>
      </w:tblBorders>
    </w:tblPr>
    <w:tblStylePr w:type="firstRow">
      <w:rPr>
        <w:b/>
        <w:bCs/>
        <w:color w:val="FFFFFF" w:themeColor="background1"/>
      </w:rPr>
      <w:tblPr/>
      <w:tcPr>
        <w:tcBorders>
          <w:top w:val="single" w:sz="4" w:space="0" w:color="00B3E4" w:themeColor="accent3"/>
          <w:left w:val="single" w:sz="4" w:space="0" w:color="00B3E4" w:themeColor="accent3"/>
          <w:bottom w:val="single" w:sz="4" w:space="0" w:color="00B3E4" w:themeColor="accent3"/>
          <w:right w:val="single" w:sz="4" w:space="0" w:color="00B3E4" w:themeColor="accent3"/>
          <w:insideH w:val="nil"/>
        </w:tcBorders>
        <w:shd w:val="clear" w:color="auto" w:fill="00B3E4" w:themeFill="accent3"/>
      </w:tcPr>
    </w:tblStylePr>
    <w:tblStylePr w:type="lastRow">
      <w:rPr>
        <w:b/>
        <w:bCs/>
      </w:rPr>
      <w:tblPr/>
      <w:tcPr>
        <w:tcBorders>
          <w:top w:val="double" w:sz="4" w:space="0" w:color="55DAFF" w:themeColor="accent3" w:themeTint="99"/>
        </w:tcBorders>
      </w:tcPr>
    </w:tblStylePr>
    <w:tblStylePr w:type="firstCol">
      <w:rPr>
        <w:b/>
        <w:bCs/>
      </w:rPr>
    </w:tblStylePr>
    <w:tblStylePr w:type="lastCol">
      <w:rPr>
        <w:b/>
        <w:bCs/>
      </w:rPr>
    </w:tblStylePr>
    <w:tblStylePr w:type="band1Vert">
      <w:tblPr/>
      <w:tcPr>
        <w:shd w:val="clear" w:color="auto" w:fill="C6F2FF" w:themeFill="accent3" w:themeFillTint="33"/>
      </w:tcPr>
    </w:tblStylePr>
    <w:tblStylePr w:type="band1Horz">
      <w:tblPr/>
      <w:tcPr>
        <w:shd w:val="clear" w:color="auto" w:fill="C6F2FF" w:themeFill="accent3" w:themeFillTint="33"/>
      </w:tcPr>
    </w:tblStylePr>
  </w:style>
  <w:style w:type="table" w:styleId="ListTable4-Accent4">
    <w:name w:val="List Table 4 Accent 4"/>
    <w:basedOn w:val="TableNormal"/>
    <w:uiPriority w:val="49"/>
    <w:rsid w:val="00DF0E94"/>
    <w:pPr>
      <w:spacing w:after="0" w:line="240" w:lineRule="auto"/>
    </w:pPr>
    <w:tblPr>
      <w:tblStyleRowBandSize w:val="1"/>
      <w:tblStyleColBandSize w:val="1"/>
      <w:tblBorders>
        <w:top w:val="single" w:sz="4" w:space="0" w:color="B9DC8C" w:themeColor="accent4" w:themeTint="99"/>
        <w:left w:val="single" w:sz="4" w:space="0" w:color="B9DC8C" w:themeColor="accent4" w:themeTint="99"/>
        <w:bottom w:val="single" w:sz="4" w:space="0" w:color="B9DC8C" w:themeColor="accent4" w:themeTint="99"/>
        <w:right w:val="single" w:sz="4" w:space="0" w:color="B9DC8C" w:themeColor="accent4" w:themeTint="99"/>
        <w:insideH w:val="single" w:sz="4" w:space="0" w:color="B9DC8C" w:themeColor="accent4" w:themeTint="99"/>
      </w:tblBorders>
    </w:tblPr>
    <w:tblStylePr w:type="firstRow">
      <w:rPr>
        <w:b/>
        <w:bCs/>
        <w:color w:val="FFFFFF" w:themeColor="background1"/>
      </w:rPr>
      <w:tblPr/>
      <w:tcPr>
        <w:tcBorders>
          <w:top w:val="single" w:sz="4" w:space="0" w:color="8BC640" w:themeColor="accent4"/>
          <w:left w:val="single" w:sz="4" w:space="0" w:color="8BC640" w:themeColor="accent4"/>
          <w:bottom w:val="single" w:sz="4" w:space="0" w:color="8BC640" w:themeColor="accent4"/>
          <w:right w:val="single" w:sz="4" w:space="0" w:color="8BC640" w:themeColor="accent4"/>
          <w:insideH w:val="nil"/>
        </w:tcBorders>
        <w:shd w:val="clear" w:color="auto" w:fill="8BC640" w:themeFill="accent4"/>
      </w:tcPr>
    </w:tblStylePr>
    <w:tblStylePr w:type="lastRow">
      <w:rPr>
        <w:b/>
        <w:bCs/>
      </w:rPr>
      <w:tblPr/>
      <w:tcPr>
        <w:tcBorders>
          <w:top w:val="double" w:sz="4" w:space="0" w:color="B9DC8C" w:themeColor="accent4" w:themeTint="99"/>
        </w:tcBorders>
      </w:tcPr>
    </w:tblStylePr>
    <w:tblStylePr w:type="firstCol">
      <w:rPr>
        <w:b/>
        <w:bCs/>
      </w:rPr>
    </w:tblStylePr>
    <w:tblStylePr w:type="lastCol">
      <w:rPr>
        <w:b/>
        <w:bCs/>
      </w:rPr>
    </w:tblStylePr>
    <w:tblStylePr w:type="band1Vert">
      <w:tblPr/>
      <w:tcPr>
        <w:shd w:val="clear" w:color="auto" w:fill="E7F3D8" w:themeFill="accent4" w:themeFillTint="33"/>
      </w:tcPr>
    </w:tblStylePr>
    <w:tblStylePr w:type="band1Horz">
      <w:tblPr/>
      <w:tcPr>
        <w:shd w:val="clear" w:color="auto" w:fill="E7F3D8" w:themeFill="accent4" w:themeFillTint="33"/>
      </w:tcPr>
    </w:tblStylePr>
  </w:style>
  <w:style w:type="table" w:styleId="ListTable4-Accent5">
    <w:name w:val="List Table 4 Accent 5"/>
    <w:basedOn w:val="TableNormal"/>
    <w:uiPriority w:val="49"/>
    <w:rsid w:val="00DF0E94"/>
    <w:pPr>
      <w:spacing w:after="0" w:line="240" w:lineRule="auto"/>
    </w:pPr>
    <w:tblPr>
      <w:tblStyleRowBandSize w:val="1"/>
      <w:tblStyleColBandSize w:val="1"/>
      <w:tblBorders>
        <w:top w:val="single" w:sz="4" w:space="0" w:color="F5878C" w:themeColor="accent5" w:themeTint="99"/>
        <w:left w:val="single" w:sz="4" w:space="0" w:color="F5878C" w:themeColor="accent5" w:themeTint="99"/>
        <w:bottom w:val="single" w:sz="4" w:space="0" w:color="F5878C" w:themeColor="accent5" w:themeTint="99"/>
        <w:right w:val="single" w:sz="4" w:space="0" w:color="F5878C" w:themeColor="accent5" w:themeTint="99"/>
        <w:insideH w:val="single" w:sz="4" w:space="0" w:color="F5878C" w:themeColor="accent5" w:themeTint="99"/>
      </w:tblBorders>
    </w:tblPr>
    <w:tblStylePr w:type="firstRow">
      <w:rPr>
        <w:b/>
        <w:bCs/>
        <w:color w:val="FFFFFF" w:themeColor="background1"/>
      </w:rPr>
      <w:tblPr/>
      <w:tcPr>
        <w:tcBorders>
          <w:top w:val="single" w:sz="4" w:space="0" w:color="EF3942" w:themeColor="accent5"/>
          <w:left w:val="single" w:sz="4" w:space="0" w:color="EF3942" w:themeColor="accent5"/>
          <w:bottom w:val="single" w:sz="4" w:space="0" w:color="EF3942" w:themeColor="accent5"/>
          <w:right w:val="single" w:sz="4" w:space="0" w:color="EF3942" w:themeColor="accent5"/>
          <w:insideH w:val="nil"/>
        </w:tcBorders>
        <w:shd w:val="clear" w:color="auto" w:fill="EF3942" w:themeFill="accent5"/>
      </w:tcPr>
    </w:tblStylePr>
    <w:tblStylePr w:type="lastRow">
      <w:rPr>
        <w:b/>
        <w:bCs/>
      </w:rPr>
      <w:tblPr/>
      <w:tcPr>
        <w:tcBorders>
          <w:top w:val="double" w:sz="4" w:space="0" w:color="F5878C" w:themeColor="accent5" w:themeTint="99"/>
        </w:tcBorders>
      </w:tcPr>
    </w:tblStylePr>
    <w:tblStylePr w:type="firstCol">
      <w:rPr>
        <w:b/>
        <w:bCs/>
      </w:rPr>
    </w:tblStylePr>
    <w:tblStylePr w:type="lastCol">
      <w:rPr>
        <w:b/>
        <w:bCs/>
      </w:rPr>
    </w:tblStylePr>
    <w:tblStylePr w:type="band1Vert">
      <w:tblPr/>
      <w:tcPr>
        <w:shd w:val="clear" w:color="auto" w:fill="FBD7D8" w:themeFill="accent5" w:themeFillTint="33"/>
      </w:tcPr>
    </w:tblStylePr>
    <w:tblStylePr w:type="band1Horz">
      <w:tblPr/>
      <w:tcPr>
        <w:shd w:val="clear" w:color="auto" w:fill="FBD7D8" w:themeFill="accent5" w:themeFillTint="33"/>
      </w:tcPr>
    </w:tblStylePr>
  </w:style>
  <w:style w:type="table" w:styleId="ListTable4-Accent6">
    <w:name w:val="List Table 4 Accent 6"/>
    <w:basedOn w:val="TableNormal"/>
    <w:uiPriority w:val="49"/>
    <w:rsid w:val="00DF0E94"/>
    <w:pPr>
      <w:spacing w:after="0" w:line="240" w:lineRule="auto"/>
    </w:pPr>
    <w:tblPr>
      <w:tblStyleRowBandSize w:val="1"/>
      <w:tblStyleColBandSize w:val="1"/>
      <w:tblBorders>
        <w:top w:val="single" w:sz="4" w:space="0" w:color="FDE967" w:themeColor="accent6" w:themeTint="99"/>
        <w:left w:val="single" w:sz="4" w:space="0" w:color="FDE967" w:themeColor="accent6" w:themeTint="99"/>
        <w:bottom w:val="single" w:sz="4" w:space="0" w:color="FDE967" w:themeColor="accent6" w:themeTint="99"/>
        <w:right w:val="single" w:sz="4" w:space="0" w:color="FDE967" w:themeColor="accent6" w:themeTint="99"/>
        <w:insideH w:val="single" w:sz="4" w:space="0" w:color="FDE967" w:themeColor="accent6" w:themeTint="99"/>
      </w:tblBorders>
    </w:tblPr>
    <w:tblStylePr w:type="firstRow">
      <w:rPr>
        <w:b/>
        <w:bCs/>
        <w:color w:val="FFFFFF" w:themeColor="background1"/>
      </w:rPr>
      <w:tblPr/>
      <w:tcPr>
        <w:tcBorders>
          <w:top w:val="single" w:sz="4" w:space="0" w:color="FDDB03" w:themeColor="accent6"/>
          <w:left w:val="single" w:sz="4" w:space="0" w:color="FDDB03" w:themeColor="accent6"/>
          <w:bottom w:val="single" w:sz="4" w:space="0" w:color="FDDB03" w:themeColor="accent6"/>
          <w:right w:val="single" w:sz="4" w:space="0" w:color="FDDB03" w:themeColor="accent6"/>
          <w:insideH w:val="nil"/>
        </w:tcBorders>
        <w:shd w:val="clear" w:color="auto" w:fill="FDDB03" w:themeFill="accent6"/>
      </w:tcPr>
    </w:tblStylePr>
    <w:tblStylePr w:type="lastRow">
      <w:rPr>
        <w:b/>
        <w:bCs/>
      </w:rPr>
      <w:tblPr/>
      <w:tcPr>
        <w:tcBorders>
          <w:top w:val="double" w:sz="4" w:space="0" w:color="FDE967" w:themeColor="accent6" w:themeTint="99"/>
        </w:tcBorders>
      </w:tcPr>
    </w:tblStylePr>
    <w:tblStylePr w:type="firstCol">
      <w:rPr>
        <w:b/>
        <w:bCs/>
      </w:rPr>
    </w:tblStylePr>
    <w:tblStylePr w:type="lastCol">
      <w:rPr>
        <w:b/>
        <w:bCs/>
      </w:rPr>
    </w:tblStylePr>
    <w:tblStylePr w:type="band1Vert">
      <w:tblPr/>
      <w:tcPr>
        <w:shd w:val="clear" w:color="auto" w:fill="FEF7CC" w:themeFill="accent6" w:themeFillTint="33"/>
      </w:tcPr>
    </w:tblStylePr>
    <w:tblStylePr w:type="band1Horz">
      <w:tblPr/>
      <w:tcPr>
        <w:shd w:val="clear" w:color="auto" w:fill="FEF7CC" w:themeFill="accent6" w:themeFillTint="33"/>
      </w:tcPr>
    </w:tblStylePr>
  </w:style>
  <w:style w:type="table" w:styleId="ListTable5Dark">
    <w:name w:val="List Table 5 Dark"/>
    <w:basedOn w:val="TableNormal"/>
    <w:uiPriority w:val="50"/>
    <w:rsid w:val="00DF0E9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F0E94"/>
    <w:pPr>
      <w:spacing w:after="0" w:line="240" w:lineRule="auto"/>
    </w:pPr>
    <w:rPr>
      <w:color w:val="FFFFFF" w:themeColor="background1"/>
    </w:rPr>
    <w:tblPr>
      <w:tblStyleRowBandSize w:val="1"/>
      <w:tblStyleColBandSize w:val="1"/>
      <w:tblBorders>
        <w:top w:val="single" w:sz="24" w:space="0" w:color="FCB319" w:themeColor="accent1"/>
        <w:left w:val="single" w:sz="24" w:space="0" w:color="FCB319" w:themeColor="accent1"/>
        <w:bottom w:val="single" w:sz="24" w:space="0" w:color="FCB319" w:themeColor="accent1"/>
        <w:right w:val="single" w:sz="24" w:space="0" w:color="FCB319" w:themeColor="accent1"/>
      </w:tblBorders>
    </w:tblPr>
    <w:tcPr>
      <w:shd w:val="clear" w:color="auto" w:fill="FCB31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F0E94"/>
    <w:pPr>
      <w:spacing w:after="0" w:line="240" w:lineRule="auto"/>
    </w:pPr>
    <w:rPr>
      <w:color w:val="FFFFFF" w:themeColor="background1"/>
    </w:rPr>
    <w:tblPr>
      <w:tblStyleRowBandSize w:val="1"/>
      <w:tblStyleColBandSize w:val="1"/>
      <w:tblBorders>
        <w:top w:val="single" w:sz="24" w:space="0" w:color="E70E8A" w:themeColor="accent2"/>
        <w:left w:val="single" w:sz="24" w:space="0" w:color="E70E8A" w:themeColor="accent2"/>
        <w:bottom w:val="single" w:sz="24" w:space="0" w:color="E70E8A" w:themeColor="accent2"/>
        <w:right w:val="single" w:sz="24" w:space="0" w:color="E70E8A" w:themeColor="accent2"/>
      </w:tblBorders>
    </w:tblPr>
    <w:tcPr>
      <w:shd w:val="clear" w:color="auto" w:fill="E70E8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F0E94"/>
    <w:pPr>
      <w:spacing w:after="0" w:line="240" w:lineRule="auto"/>
    </w:pPr>
    <w:rPr>
      <w:color w:val="FFFFFF" w:themeColor="background1"/>
    </w:rPr>
    <w:tblPr>
      <w:tblStyleRowBandSize w:val="1"/>
      <w:tblStyleColBandSize w:val="1"/>
      <w:tblBorders>
        <w:top w:val="single" w:sz="24" w:space="0" w:color="00B3E4" w:themeColor="accent3"/>
        <w:left w:val="single" w:sz="24" w:space="0" w:color="00B3E4" w:themeColor="accent3"/>
        <w:bottom w:val="single" w:sz="24" w:space="0" w:color="00B3E4" w:themeColor="accent3"/>
        <w:right w:val="single" w:sz="24" w:space="0" w:color="00B3E4" w:themeColor="accent3"/>
      </w:tblBorders>
    </w:tblPr>
    <w:tcPr>
      <w:shd w:val="clear" w:color="auto" w:fill="00B3E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F0E94"/>
    <w:pPr>
      <w:spacing w:after="0" w:line="240" w:lineRule="auto"/>
    </w:pPr>
    <w:rPr>
      <w:color w:val="FFFFFF" w:themeColor="background1"/>
    </w:rPr>
    <w:tblPr>
      <w:tblStyleRowBandSize w:val="1"/>
      <w:tblStyleColBandSize w:val="1"/>
      <w:tblBorders>
        <w:top w:val="single" w:sz="24" w:space="0" w:color="8BC640" w:themeColor="accent4"/>
        <w:left w:val="single" w:sz="24" w:space="0" w:color="8BC640" w:themeColor="accent4"/>
        <w:bottom w:val="single" w:sz="24" w:space="0" w:color="8BC640" w:themeColor="accent4"/>
        <w:right w:val="single" w:sz="24" w:space="0" w:color="8BC640" w:themeColor="accent4"/>
      </w:tblBorders>
    </w:tblPr>
    <w:tcPr>
      <w:shd w:val="clear" w:color="auto" w:fill="8BC64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F0E94"/>
    <w:pPr>
      <w:spacing w:after="0" w:line="240" w:lineRule="auto"/>
    </w:pPr>
    <w:rPr>
      <w:color w:val="FFFFFF" w:themeColor="background1"/>
    </w:rPr>
    <w:tblPr>
      <w:tblStyleRowBandSize w:val="1"/>
      <w:tblStyleColBandSize w:val="1"/>
      <w:tblBorders>
        <w:top w:val="single" w:sz="24" w:space="0" w:color="EF3942" w:themeColor="accent5"/>
        <w:left w:val="single" w:sz="24" w:space="0" w:color="EF3942" w:themeColor="accent5"/>
        <w:bottom w:val="single" w:sz="24" w:space="0" w:color="EF3942" w:themeColor="accent5"/>
        <w:right w:val="single" w:sz="24" w:space="0" w:color="EF3942" w:themeColor="accent5"/>
      </w:tblBorders>
    </w:tblPr>
    <w:tcPr>
      <w:shd w:val="clear" w:color="auto" w:fill="EF39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F0E94"/>
    <w:pPr>
      <w:spacing w:after="0" w:line="240" w:lineRule="auto"/>
    </w:pPr>
    <w:rPr>
      <w:color w:val="FFFFFF" w:themeColor="background1"/>
    </w:rPr>
    <w:tblPr>
      <w:tblStyleRowBandSize w:val="1"/>
      <w:tblStyleColBandSize w:val="1"/>
      <w:tblBorders>
        <w:top w:val="single" w:sz="24" w:space="0" w:color="FDDB03" w:themeColor="accent6"/>
        <w:left w:val="single" w:sz="24" w:space="0" w:color="FDDB03" w:themeColor="accent6"/>
        <w:bottom w:val="single" w:sz="24" w:space="0" w:color="FDDB03" w:themeColor="accent6"/>
        <w:right w:val="single" w:sz="24" w:space="0" w:color="FDDB03" w:themeColor="accent6"/>
      </w:tblBorders>
    </w:tblPr>
    <w:tcPr>
      <w:shd w:val="clear" w:color="auto" w:fill="FDDB0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F0E9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F0E94"/>
    <w:pPr>
      <w:spacing w:after="0" w:line="240" w:lineRule="auto"/>
    </w:pPr>
    <w:rPr>
      <w:color w:val="CC8A02" w:themeColor="accent1" w:themeShade="BF"/>
    </w:rPr>
    <w:tblPr>
      <w:tblStyleRowBandSize w:val="1"/>
      <w:tblStyleColBandSize w:val="1"/>
      <w:tblBorders>
        <w:top w:val="single" w:sz="4" w:space="0" w:color="FCB319" w:themeColor="accent1"/>
        <w:bottom w:val="single" w:sz="4" w:space="0" w:color="FCB319" w:themeColor="accent1"/>
      </w:tblBorders>
    </w:tblPr>
    <w:tblStylePr w:type="firstRow">
      <w:rPr>
        <w:b/>
        <w:bCs/>
      </w:rPr>
      <w:tblPr/>
      <w:tcPr>
        <w:tcBorders>
          <w:bottom w:val="single" w:sz="4" w:space="0" w:color="FCB319" w:themeColor="accent1"/>
        </w:tcBorders>
      </w:tcPr>
    </w:tblStylePr>
    <w:tblStylePr w:type="lastRow">
      <w:rPr>
        <w:b/>
        <w:bCs/>
      </w:rPr>
      <w:tblPr/>
      <w:tcPr>
        <w:tcBorders>
          <w:top w:val="double" w:sz="4" w:space="0" w:color="FCB319" w:themeColor="accent1"/>
        </w:tcBorders>
      </w:tcPr>
    </w:tblStylePr>
    <w:tblStylePr w:type="firstCol">
      <w:rPr>
        <w:b/>
        <w:bCs/>
      </w:rPr>
    </w:tblStylePr>
    <w:tblStylePr w:type="lastCol">
      <w:rPr>
        <w:b/>
        <w:bCs/>
      </w:rPr>
    </w:tblStylePr>
    <w:tblStylePr w:type="band1Vert">
      <w:tblPr/>
      <w:tcPr>
        <w:shd w:val="clear" w:color="auto" w:fill="FEEFD0" w:themeFill="accent1" w:themeFillTint="33"/>
      </w:tcPr>
    </w:tblStylePr>
    <w:tblStylePr w:type="band1Horz">
      <w:tblPr/>
      <w:tcPr>
        <w:shd w:val="clear" w:color="auto" w:fill="FEEFD0" w:themeFill="accent1" w:themeFillTint="33"/>
      </w:tcPr>
    </w:tblStylePr>
  </w:style>
  <w:style w:type="table" w:styleId="ListTable6Colorful-Accent2">
    <w:name w:val="List Table 6 Colorful Accent 2"/>
    <w:basedOn w:val="TableNormal"/>
    <w:uiPriority w:val="51"/>
    <w:rsid w:val="00DF0E94"/>
    <w:pPr>
      <w:spacing w:after="0" w:line="240" w:lineRule="auto"/>
    </w:pPr>
    <w:rPr>
      <w:color w:val="AC0A66" w:themeColor="accent2" w:themeShade="BF"/>
    </w:rPr>
    <w:tblPr>
      <w:tblStyleRowBandSize w:val="1"/>
      <w:tblStyleColBandSize w:val="1"/>
      <w:tblBorders>
        <w:top w:val="single" w:sz="4" w:space="0" w:color="E70E8A" w:themeColor="accent2"/>
        <w:bottom w:val="single" w:sz="4" w:space="0" w:color="E70E8A" w:themeColor="accent2"/>
      </w:tblBorders>
    </w:tblPr>
    <w:tblStylePr w:type="firstRow">
      <w:rPr>
        <w:b/>
        <w:bCs/>
      </w:rPr>
      <w:tblPr/>
      <w:tcPr>
        <w:tcBorders>
          <w:bottom w:val="single" w:sz="4" w:space="0" w:color="E70E8A" w:themeColor="accent2"/>
        </w:tcBorders>
      </w:tcPr>
    </w:tblStylePr>
    <w:tblStylePr w:type="lastRow">
      <w:rPr>
        <w:b/>
        <w:bCs/>
      </w:rPr>
      <w:tblPr/>
      <w:tcPr>
        <w:tcBorders>
          <w:top w:val="double" w:sz="4" w:space="0" w:color="E70E8A" w:themeColor="accent2"/>
        </w:tcBorders>
      </w:tcPr>
    </w:tblStylePr>
    <w:tblStylePr w:type="firstCol">
      <w:rPr>
        <w:b/>
        <w:bCs/>
      </w:rPr>
    </w:tblStylePr>
    <w:tblStylePr w:type="lastCol">
      <w:rPr>
        <w:b/>
        <w:bCs/>
      </w:rPr>
    </w:tblStylePr>
    <w:tblStylePr w:type="band1Vert">
      <w:tblPr/>
      <w:tcPr>
        <w:shd w:val="clear" w:color="auto" w:fill="FCCDE7" w:themeFill="accent2" w:themeFillTint="33"/>
      </w:tcPr>
    </w:tblStylePr>
    <w:tblStylePr w:type="band1Horz">
      <w:tblPr/>
      <w:tcPr>
        <w:shd w:val="clear" w:color="auto" w:fill="FCCDE7" w:themeFill="accent2" w:themeFillTint="33"/>
      </w:tcPr>
    </w:tblStylePr>
  </w:style>
  <w:style w:type="table" w:styleId="ListTable6Colorful-Accent3">
    <w:name w:val="List Table 6 Colorful Accent 3"/>
    <w:basedOn w:val="TableNormal"/>
    <w:uiPriority w:val="51"/>
    <w:rsid w:val="00DF0E94"/>
    <w:pPr>
      <w:spacing w:after="0" w:line="240" w:lineRule="auto"/>
    </w:pPr>
    <w:rPr>
      <w:color w:val="0085AA" w:themeColor="accent3" w:themeShade="BF"/>
    </w:rPr>
    <w:tblPr>
      <w:tblStyleRowBandSize w:val="1"/>
      <w:tblStyleColBandSize w:val="1"/>
      <w:tblBorders>
        <w:top w:val="single" w:sz="4" w:space="0" w:color="00B3E4" w:themeColor="accent3"/>
        <w:bottom w:val="single" w:sz="4" w:space="0" w:color="00B3E4" w:themeColor="accent3"/>
      </w:tblBorders>
    </w:tblPr>
    <w:tblStylePr w:type="firstRow">
      <w:rPr>
        <w:b/>
        <w:bCs/>
      </w:rPr>
      <w:tblPr/>
      <w:tcPr>
        <w:tcBorders>
          <w:bottom w:val="single" w:sz="4" w:space="0" w:color="00B3E4" w:themeColor="accent3"/>
        </w:tcBorders>
      </w:tcPr>
    </w:tblStylePr>
    <w:tblStylePr w:type="lastRow">
      <w:rPr>
        <w:b/>
        <w:bCs/>
      </w:rPr>
      <w:tblPr/>
      <w:tcPr>
        <w:tcBorders>
          <w:top w:val="double" w:sz="4" w:space="0" w:color="00B3E4" w:themeColor="accent3"/>
        </w:tcBorders>
      </w:tcPr>
    </w:tblStylePr>
    <w:tblStylePr w:type="firstCol">
      <w:rPr>
        <w:b/>
        <w:bCs/>
      </w:rPr>
    </w:tblStylePr>
    <w:tblStylePr w:type="lastCol">
      <w:rPr>
        <w:b/>
        <w:bCs/>
      </w:rPr>
    </w:tblStylePr>
    <w:tblStylePr w:type="band1Vert">
      <w:tblPr/>
      <w:tcPr>
        <w:shd w:val="clear" w:color="auto" w:fill="C6F2FF" w:themeFill="accent3" w:themeFillTint="33"/>
      </w:tcPr>
    </w:tblStylePr>
    <w:tblStylePr w:type="band1Horz">
      <w:tblPr/>
      <w:tcPr>
        <w:shd w:val="clear" w:color="auto" w:fill="C6F2FF" w:themeFill="accent3" w:themeFillTint="33"/>
      </w:tcPr>
    </w:tblStylePr>
  </w:style>
  <w:style w:type="table" w:styleId="ListTable6Colorful-Accent4">
    <w:name w:val="List Table 6 Colorful Accent 4"/>
    <w:basedOn w:val="TableNormal"/>
    <w:uiPriority w:val="51"/>
    <w:rsid w:val="00DF0E94"/>
    <w:pPr>
      <w:spacing w:after="0" w:line="240" w:lineRule="auto"/>
    </w:pPr>
    <w:rPr>
      <w:color w:val="68962D" w:themeColor="accent4" w:themeShade="BF"/>
    </w:rPr>
    <w:tblPr>
      <w:tblStyleRowBandSize w:val="1"/>
      <w:tblStyleColBandSize w:val="1"/>
      <w:tblBorders>
        <w:top w:val="single" w:sz="4" w:space="0" w:color="8BC640" w:themeColor="accent4"/>
        <w:bottom w:val="single" w:sz="4" w:space="0" w:color="8BC640" w:themeColor="accent4"/>
      </w:tblBorders>
    </w:tblPr>
    <w:tblStylePr w:type="firstRow">
      <w:rPr>
        <w:b/>
        <w:bCs/>
      </w:rPr>
      <w:tblPr/>
      <w:tcPr>
        <w:tcBorders>
          <w:bottom w:val="single" w:sz="4" w:space="0" w:color="8BC640" w:themeColor="accent4"/>
        </w:tcBorders>
      </w:tcPr>
    </w:tblStylePr>
    <w:tblStylePr w:type="lastRow">
      <w:rPr>
        <w:b/>
        <w:bCs/>
      </w:rPr>
      <w:tblPr/>
      <w:tcPr>
        <w:tcBorders>
          <w:top w:val="double" w:sz="4" w:space="0" w:color="8BC640" w:themeColor="accent4"/>
        </w:tcBorders>
      </w:tcPr>
    </w:tblStylePr>
    <w:tblStylePr w:type="firstCol">
      <w:rPr>
        <w:b/>
        <w:bCs/>
      </w:rPr>
    </w:tblStylePr>
    <w:tblStylePr w:type="lastCol">
      <w:rPr>
        <w:b/>
        <w:bCs/>
      </w:rPr>
    </w:tblStylePr>
    <w:tblStylePr w:type="band1Vert">
      <w:tblPr/>
      <w:tcPr>
        <w:shd w:val="clear" w:color="auto" w:fill="E7F3D8" w:themeFill="accent4" w:themeFillTint="33"/>
      </w:tcPr>
    </w:tblStylePr>
    <w:tblStylePr w:type="band1Horz">
      <w:tblPr/>
      <w:tcPr>
        <w:shd w:val="clear" w:color="auto" w:fill="E7F3D8" w:themeFill="accent4" w:themeFillTint="33"/>
      </w:tcPr>
    </w:tblStylePr>
  </w:style>
  <w:style w:type="table" w:styleId="ListTable6Colorful-Accent5">
    <w:name w:val="List Table 6 Colorful Accent 5"/>
    <w:basedOn w:val="TableNormal"/>
    <w:uiPriority w:val="51"/>
    <w:rsid w:val="00DF0E94"/>
    <w:pPr>
      <w:spacing w:after="0" w:line="240" w:lineRule="auto"/>
    </w:pPr>
    <w:rPr>
      <w:color w:val="CD1019" w:themeColor="accent5" w:themeShade="BF"/>
    </w:rPr>
    <w:tblPr>
      <w:tblStyleRowBandSize w:val="1"/>
      <w:tblStyleColBandSize w:val="1"/>
      <w:tblBorders>
        <w:top w:val="single" w:sz="4" w:space="0" w:color="EF3942" w:themeColor="accent5"/>
        <w:bottom w:val="single" w:sz="4" w:space="0" w:color="EF3942" w:themeColor="accent5"/>
      </w:tblBorders>
    </w:tblPr>
    <w:tblStylePr w:type="firstRow">
      <w:rPr>
        <w:b/>
        <w:bCs/>
      </w:rPr>
      <w:tblPr/>
      <w:tcPr>
        <w:tcBorders>
          <w:bottom w:val="single" w:sz="4" w:space="0" w:color="EF3942" w:themeColor="accent5"/>
        </w:tcBorders>
      </w:tcPr>
    </w:tblStylePr>
    <w:tblStylePr w:type="lastRow">
      <w:rPr>
        <w:b/>
        <w:bCs/>
      </w:rPr>
      <w:tblPr/>
      <w:tcPr>
        <w:tcBorders>
          <w:top w:val="double" w:sz="4" w:space="0" w:color="EF3942" w:themeColor="accent5"/>
        </w:tcBorders>
      </w:tcPr>
    </w:tblStylePr>
    <w:tblStylePr w:type="firstCol">
      <w:rPr>
        <w:b/>
        <w:bCs/>
      </w:rPr>
    </w:tblStylePr>
    <w:tblStylePr w:type="lastCol">
      <w:rPr>
        <w:b/>
        <w:bCs/>
      </w:rPr>
    </w:tblStylePr>
    <w:tblStylePr w:type="band1Vert">
      <w:tblPr/>
      <w:tcPr>
        <w:shd w:val="clear" w:color="auto" w:fill="FBD7D8" w:themeFill="accent5" w:themeFillTint="33"/>
      </w:tcPr>
    </w:tblStylePr>
    <w:tblStylePr w:type="band1Horz">
      <w:tblPr/>
      <w:tcPr>
        <w:shd w:val="clear" w:color="auto" w:fill="FBD7D8" w:themeFill="accent5" w:themeFillTint="33"/>
      </w:tcPr>
    </w:tblStylePr>
  </w:style>
  <w:style w:type="table" w:styleId="ListTable6Colorful-Accent6">
    <w:name w:val="List Table 6 Colorful Accent 6"/>
    <w:basedOn w:val="TableNormal"/>
    <w:uiPriority w:val="51"/>
    <w:rsid w:val="00DF0E94"/>
    <w:pPr>
      <w:spacing w:after="0" w:line="240" w:lineRule="auto"/>
    </w:pPr>
    <w:rPr>
      <w:color w:val="BEA401" w:themeColor="accent6" w:themeShade="BF"/>
    </w:rPr>
    <w:tblPr>
      <w:tblStyleRowBandSize w:val="1"/>
      <w:tblStyleColBandSize w:val="1"/>
      <w:tblBorders>
        <w:top w:val="single" w:sz="4" w:space="0" w:color="FDDB03" w:themeColor="accent6"/>
        <w:bottom w:val="single" w:sz="4" w:space="0" w:color="FDDB03" w:themeColor="accent6"/>
      </w:tblBorders>
    </w:tblPr>
    <w:tblStylePr w:type="firstRow">
      <w:rPr>
        <w:b/>
        <w:bCs/>
      </w:rPr>
      <w:tblPr/>
      <w:tcPr>
        <w:tcBorders>
          <w:bottom w:val="single" w:sz="4" w:space="0" w:color="FDDB03" w:themeColor="accent6"/>
        </w:tcBorders>
      </w:tcPr>
    </w:tblStylePr>
    <w:tblStylePr w:type="lastRow">
      <w:rPr>
        <w:b/>
        <w:bCs/>
      </w:rPr>
      <w:tblPr/>
      <w:tcPr>
        <w:tcBorders>
          <w:top w:val="double" w:sz="4" w:space="0" w:color="FDDB03" w:themeColor="accent6"/>
        </w:tcBorders>
      </w:tcPr>
    </w:tblStylePr>
    <w:tblStylePr w:type="firstCol">
      <w:rPr>
        <w:b/>
        <w:bCs/>
      </w:rPr>
    </w:tblStylePr>
    <w:tblStylePr w:type="lastCol">
      <w:rPr>
        <w:b/>
        <w:bCs/>
      </w:rPr>
    </w:tblStylePr>
    <w:tblStylePr w:type="band1Vert">
      <w:tblPr/>
      <w:tcPr>
        <w:shd w:val="clear" w:color="auto" w:fill="FEF7CC" w:themeFill="accent6" w:themeFillTint="33"/>
      </w:tcPr>
    </w:tblStylePr>
    <w:tblStylePr w:type="band1Horz">
      <w:tblPr/>
      <w:tcPr>
        <w:shd w:val="clear" w:color="auto" w:fill="FEF7CC" w:themeFill="accent6" w:themeFillTint="33"/>
      </w:tcPr>
    </w:tblStylePr>
  </w:style>
  <w:style w:type="table" w:styleId="ListTable7Colorful">
    <w:name w:val="List Table 7 Colorful"/>
    <w:basedOn w:val="TableNormal"/>
    <w:uiPriority w:val="52"/>
    <w:rsid w:val="00DF0E9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F0E94"/>
    <w:pPr>
      <w:spacing w:after="0" w:line="240" w:lineRule="auto"/>
    </w:pPr>
    <w:rPr>
      <w:color w:val="CC8A0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B31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B31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B31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B319" w:themeColor="accent1"/>
        </w:tcBorders>
        <w:shd w:val="clear" w:color="auto" w:fill="FFFFFF" w:themeFill="background1"/>
      </w:tcPr>
    </w:tblStylePr>
    <w:tblStylePr w:type="band1Vert">
      <w:tblPr/>
      <w:tcPr>
        <w:shd w:val="clear" w:color="auto" w:fill="FEEFD0" w:themeFill="accent1" w:themeFillTint="33"/>
      </w:tcPr>
    </w:tblStylePr>
    <w:tblStylePr w:type="band1Horz">
      <w:tblPr/>
      <w:tcPr>
        <w:shd w:val="clear" w:color="auto" w:fill="FEEF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F0E94"/>
    <w:pPr>
      <w:spacing w:after="0" w:line="240" w:lineRule="auto"/>
    </w:pPr>
    <w:rPr>
      <w:color w:val="AC0A6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0E8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0E8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0E8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0E8A" w:themeColor="accent2"/>
        </w:tcBorders>
        <w:shd w:val="clear" w:color="auto" w:fill="FFFFFF" w:themeFill="background1"/>
      </w:tcPr>
    </w:tblStylePr>
    <w:tblStylePr w:type="band1Vert">
      <w:tblPr/>
      <w:tcPr>
        <w:shd w:val="clear" w:color="auto" w:fill="FCCDE7" w:themeFill="accent2" w:themeFillTint="33"/>
      </w:tcPr>
    </w:tblStylePr>
    <w:tblStylePr w:type="band1Horz">
      <w:tblPr/>
      <w:tcPr>
        <w:shd w:val="clear" w:color="auto" w:fill="FCCDE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F0E94"/>
    <w:pPr>
      <w:spacing w:after="0" w:line="240" w:lineRule="auto"/>
    </w:pPr>
    <w:rPr>
      <w:color w:val="0085A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3E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3E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3E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3E4" w:themeColor="accent3"/>
        </w:tcBorders>
        <w:shd w:val="clear" w:color="auto" w:fill="FFFFFF" w:themeFill="background1"/>
      </w:tcPr>
    </w:tblStylePr>
    <w:tblStylePr w:type="band1Vert">
      <w:tblPr/>
      <w:tcPr>
        <w:shd w:val="clear" w:color="auto" w:fill="C6F2FF" w:themeFill="accent3" w:themeFillTint="33"/>
      </w:tcPr>
    </w:tblStylePr>
    <w:tblStylePr w:type="band1Horz">
      <w:tblPr/>
      <w:tcPr>
        <w:shd w:val="clear" w:color="auto" w:fill="C6F2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F0E94"/>
    <w:pPr>
      <w:spacing w:after="0" w:line="240" w:lineRule="auto"/>
    </w:pPr>
    <w:rPr>
      <w:color w:val="6896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BC64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BC64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BC64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BC640" w:themeColor="accent4"/>
        </w:tcBorders>
        <w:shd w:val="clear" w:color="auto" w:fill="FFFFFF" w:themeFill="background1"/>
      </w:tcPr>
    </w:tblStylePr>
    <w:tblStylePr w:type="band1Vert">
      <w:tblPr/>
      <w:tcPr>
        <w:shd w:val="clear" w:color="auto" w:fill="E7F3D8" w:themeFill="accent4" w:themeFillTint="33"/>
      </w:tcPr>
    </w:tblStylePr>
    <w:tblStylePr w:type="band1Horz">
      <w:tblPr/>
      <w:tcPr>
        <w:shd w:val="clear" w:color="auto" w:fill="E7F3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F0E94"/>
    <w:pPr>
      <w:spacing w:after="0" w:line="240" w:lineRule="auto"/>
    </w:pPr>
    <w:rPr>
      <w:color w:val="CD101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F39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F39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F39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F3942" w:themeColor="accent5"/>
        </w:tcBorders>
        <w:shd w:val="clear" w:color="auto" w:fill="FFFFFF" w:themeFill="background1"/>
      </w:tcPr>
    </w:tblStylePr>
    <w:tblStylePr w:type="band1Vert">
      <w:tblPr/>
      <w:tcPr>
        <w:shd w:val="clear" w:color="auto" w:fill="FBD7D8" w:themeFill="accent5" w:themeFillTint="33"/>
      </w:tcPr>
    </w:tblStylePr>
    <w:tblStylePr w:type="band1Horz">
      <w:tblPr/>
      <w:tcPr>
        <w:shd w:val="clear" w:color="auto" w:fill="FBD7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F0E94"/>
    <w:pPr>
      <w:spacing w:after="0" w:line="240" w:lineRule="auto"/>
    </w:pPr>
    <w:rPr>
      <w:color w:val="BEA4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DB0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DB0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DB0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DB03" w:themeColor="accent6"/>
        </w:tcBorders>
        <w:shd w:val="clear" w:color="auto" w:fill="FFFFFF" w:themeFill="background1"/>
      </w:tcPr>
    </w:tblStylePr>
    <w:tblStylePr w:type="band1Vert">
      <w:tblPr/>
      <w:tcPr>
        <w:shd w:val="clear" w:color="auto" w:fill="FEF7CC" w:themeFill="accent6" w:themeFillTint="33"/>
      </w:tcPr>
    </w:tblStylePr>
    <w:tblStylePr w:type="band1Horz">
      <w:tblPr/>
      <w:tcPr>
        <w:shd w:val="clear" w:color="auto" w:fill="FEF7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semiHidden/>
    <w:unhideWhenUsed/>
    <w:rsid w:val="00DF0E94"/>
    <w:rPr>
      <w:color w:val="2B579A"/>
      <w:shd w:val="clear" w:color="auto" w:fill="E1DFDD"/>
    </w:rPr>
  </w:style>
  <w:style w:type="table" w:styleId="PlainTable1">
    <w:name w:val="Plain Table 1"/>
    <w:basedOn w:val="TableNormal"/>
    <w:uiPriority w:val="41"/>
    <w:rsid w:val="00DF0E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F0E9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F0E9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F0E9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F0E9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unhideWhenUsed/>
    <w:rsid w:val="00DF0E94"/>
    <w:rPr>
      <w:u w:val="dotted"/>
    </w:rPr>
  </w:style>
  <w:style w:type="character" w:customStyle="1" w:styleId="SmartLink1">
    <w:name w:val="SmartLink1"/>
    <w:basedOn w:val="DefaultParagraphFont"/>
    <w:uiPriority w:val="99"/>
    <w:semiHidden/>
    <w:unhideWhenUsed/>
    <w:rsid w:val="00DF0E94"/>
    <w:rPr>
      <w:color w:val="0000FF"/>
      <w:u w:val="single"/>
      <w:shd w:val="clear" w:color="auto" w:fill="F3F2F1"/>
    </w:rPr>
  </w:style>
  <w:style w:type="table" w:styleId="TableGridLight">
    <w:name w:val="Grid Table Light"/>
    <w:basedOn w:val="TableNormal"/>
    <w:uiPriority w:val="40"/>
    <w:rsid w:val="00DF0E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DF0E94"/>
    <w:rPr>
      <w:color w:val="605E5C"/>
      <w:shd w:val="clear" w:color="auto" w:fill="E1DFDD"/>
    </w:rPr>
  </w:style>
  <w:style w:type="paragraph" w:customStyle="1" w:styleId="Default">
    <w:name w:val="Default"/>
    <w:rsid w:val="002C1FC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33805">
      <w:bodyDiv w:val="1"/>
      <w:marLeft w:val="0"/>
      <w:marRight w:val="0"/>
      <w:marTop w:val="0"/>
      <w:marBottom w:val="0"/>
      <w:divBdr>
        <w:top w:val="none" w:sz="0" w:space="0" w:color="auto"/>
        <w:left w:val="none" w:sz="0" w:space="0" w:color="auto"/>
        <w:bottom w:val="none" w:sz="0" w:space="0" w:color="auto"/>
        <w:right w:val="none" w:sz="0" w:space="0" w:color="auto"/>
      </w:divBdr>
      <w:divsChild>
        <w:div w:id="2007592008">
          <w:marLeft w:val="0"/>
          <w:marRight w:val="0"/>
          <w:marTop w:val="0"/>
          <w:marBottom w:val="0"/>
          <w:divBdr>
            <w:top w:val="none" w:sz="0" w:space="0" w:color="auto"/>
            <w:left w:val="none" w:sz="0" w:space="0" w:color="auto"/>
            <w:bottom w:val="none" w:sz="0" w:space="0" w:color="auto"/>
            <w:right w:val="none" w:sz="0" w:space="0" w:color="auto"/>
          </w:divBdr>
        </w:div>
        <w:div w:id="863592501">
          <w:blockQuote w:val="1"/>
          <w:marLeft w:val="255"/>
          <w:marRight w:val="0"/>
          <w:marTop w:val="0"/>
          <w:marBottom w:val="150"/>
          <w:divBdr>
            <w:top w:val="none" w:sz="0" w:space="0" w:color="auto"/>
            <w:left w:val="none" w:sz="0" w:space="0" w:color="auto"/>
            <w:bottom w:val="none" w:sz="0" w:space="0" w:color="auto"/>
            <w:right w:val="none" w:sz="0" w:space="0" w:color="auto"/>
          </w:divBdr>
          <w:divsChild>
            <w:div w:id="1709380929">
              <w:marLeft w:val="0"/>
              <w:marRight w:val="0"/>
              <w:marTop w:val="0"/>
              <w:marBottom w:val="0"/>
              <w:divBdr>
                <w:top w:val="none" w:sz="0" w:space="0" w:color="auto"/>
                <w:left w:val="none" w:sz="0" w:space="0" w:color="auto"/>
                <w:bottom w:val="none" w:sz="0" w:space="0" w:color="auto"/>
                <w:right w:val="none" w:sz="0" w:space="0" w:color="auto"/>
              </w:divBdr>
              <w:divsChild>
                <w:div w:id="1012756043">
                  <w:marLeft w:val="340"/>
                  <w:marRight w:val="0"/>
                  <w:marTop w:val="160"/>
                  <w:marBottom w:val="200"/>
                  <w:divBdr>
                    <w:top w:val="none" w:sz="0" w:space="0" w:color="auto"/>
                    <w:left w:val="none" w:sz="0" w:space="0" w:color="auto"/>
                    <w:bottom w:val="none" w:sz="0" w:space="0" w:color="auto"/>
                    <w:right w:val="none" w:sz="0" w:space="0" w:color="auto"/>
                  </w:divBdr>
                </w:div>
                <w:div w:id="88749373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53326295">
                      <w:marLeft w:val="0"/>
                      <w:marRight w:val="0"/>
                      <w:marTop w:val="0"/>
                      <w:marBottom w:val="0"/>
                      <w:divBdr>
                        <w:top w:val="none" w:sz="0" w:space="0" w:color="auto"/>
                        <w:left w:val="none" w:sz="0" w:space="0" w:color="auto"/>
                        <w:bottom w:val="none" w:sz="0" w:space="0" w:color="auto"/>
                        <w:right w:val="none" w:sz="0" w:space="0" w:color="auto"/>
                      </w:divBdr>
                      <w:divsChild>
                        <w:div w:id="12739008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48288223">
                      <w:marLeft w:val="0"/>
                      <w:marRight w:val="0"/>
                      <w:marTop w:val="0"/>
                      <w:marBottom w:val="0"/>
                      <w:divBdr>
                        <w:top w:val="none" w:sz="0" w:space="0" w:color="auto"/>
                        <w:left w:val="none" w:sz="0" w:space="0" w:color="auto"/>
                        <w:bottom w:val="none" w:sz="0" w:space="0" w:color="auto"/>
                        <w:right w:val="none" w:sz="0" w:space="0" w:color="auto"/>
                      </w:divBdr>
                      <w:divsChild>
                        <w:div w:id="48446764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23829743">
                      <w:marLeft w:val="0"/>
                      <w:marRight w:val="0"/>
                      <w:marTop w:val="0"/>
                      <w:marBottom w:val="0"/>
                      <w:divBdr>
                        <w:top w:val="none" w:sz="0" w:space="0" w:color="auto"/>
                        <w:left w:val="none" w:sz="0" w:space="0" w:color="auto"/>
                        <w:bottom w:val="none" w:sz="0" w:space="0" w:color="auto"/>
                        <w:right w:val="none" w:sz="0" w:space="0" w:color="auto"/>
                      </w:divBdr>
                      <w:divsChild>
                        <w:div w:id="129355624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999114558">
              <w:marLeft w:val="0"/>
              <w:marRight w:val="0"/>
              <w:marTop w:val="0"/>
              <w:marBottom w:val="0"/>
              <w:divBdr>
                <w:top w:val="none" w:sz="0" w:space="0" w:color="auto"/>
                <w:left w:val="none" w:sz="0" w:space="0" w:color="auto"/>
                <w:bottom w:val="none" w:sz="0" w:space="0" w:color="auto"/>
                <w:right w:val="none" w:sz="0" w:space="0" w:color="auto"/>
              </w:divBdr>
              <w:divsChild>
                <w:div w:id="1673292257">
                  <w:marLeft w:val="340"/>
                  <w:marRight w:val="0"/>
                  <w:marTop w:val="160"/>
                  <w:marBottom w:val="200"/>
                  <w:divBdr>
                    <w:top w:val="none" w:sz="0" w:space="0" w:color="auto"/>
                    <w:left w:val="none" w:sz="0" w:space="0" w:color="auto"/>
                    <w:bottom w:val="none" w:sz="0" w:space="0" w:color="auto"/>
                    <w:right w:val="none" w:sz="0" w:space="0" w:color="auto"/>
                  </w:divBdr>
                </w:div>
                <w:div w:id="11456121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065879787">
              <w:marLeft w:val="0"/>
              <w:marRight w:val="0"/>
              <w:marTop w:val="0"/>
              <w:marBottom w:val="0"/>
              <w:divBdr>
                <w:top w:val="none" w:sz="0" w:space="0" w:color="auto"/>
                <w:left w:val="none" w:sz="0" w:space="0" w:color="auto"/>
                <w:bottom w:val="none" w:sz="0" w:space="0" w:color="auto"/>
                <w:right w:val="none" w:sz="0" w:space="0" w:color="auto"/>
              </w:divBdr>
              <w:divsChild>
                <w:div w:id="2015758630">
                  <w:marLeft w:val="340"/>
                  <w:marRight w:val="0"/>
                  <w:marTop w:val="160"/>
                  <w:marBottom w:val="200"/>
                  <w:divBdr>
                    <w:top w:val="none" w:sz="0" w:space="0" w:color="auto"/>
                    <w:left w:val="none" w:sz="0" w:space="0" w:color="auto"/>
                    <w:bottom w:val="none" w:sz="0" w:space="0" w:color="auto"/>
                    <w:right w:val="none" w:sz="0" w:space="0" w:color="auto"/>
                  </w:divBdr>
                </w:div>
                <w:div w:id="202119614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301498245">
              <w:marLeft w:val="0"/>
              <w:marRight w:val="0"/>
              <w:marTop w:val="0"/>
              <w:marBottom w:val="0"/>
              <w:divBdr>
                <w:top w:val="none" w:sz="0" w:space="0" w:color="auto"/>
                <w:left w:val="none" w:sz="0" w:space="0" w:color="auto"/>
                <w:bottom w:val="none" w:sz="0" w:space="0" w:color="auto"/>
                <w:right w:val="none" w:sz="0" w:space="0" w:color="auto"/>
              </w:divBdr>
              <w:divsChild>
                <w:div w:id="654913593">
                  <w:marLeft w:val="340"/>
                  <w:marRight w:val="0"/>
                  <w:marTop w:val="160"/>
                  <w:marBottom w:val="200"/>
                  <w:divBdr>
                    <w:top w:val="none" w:sz="0" w:space="0" w:color="auto"/>
                    <w:left w:val="none" w:sz="0" w:space="0" w:color="auto"/>
                    <w:bottom w:val="none" w:sz="0" w:space="0" w:color="auto"/>
                    <w:right w:val="none" w:sz="0" w:space="0" w:color="auto"/>
                  </w:divBdr>
                </w:div>
                <w:div w:id="10257916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81095986">
      <w:bodyDiv w:val="1"/>
      <w:marLeft w:val="0"/>
      <w:marRight w:val="0"/>
      <w:marTop w:val="0"/>
      <w:marBottom w:val="0"/>
      <w:divBdr>
        <w:top w:val="none" w:sz="0" w:space="0" w:color="auto"/>
        <w:left w:val="none" w:sz="0" w:space="0" w:color="auto"/>
        <w:bottom w:val="none" w:sz="0" w:space="0" w:color="auto"/>
        <w:right w:val="none" w:sz="0" w:space="0" w:color="auto"/>
      </w:divBdr>
      <w:divsChild>
        <w:div w:id="188839766">
          <w:marLeft w:val="340"/>
          <w:marRight w:val="0"/>
          <w:marTop w:val="160"/>
          <w:marBottom w:val="200"/>
          <w:divBdr>
            <w:top w:val="none" w:sz="0" w:space="0" w:color="auto"/>
            <w:left w:val="none" w:sz="0" w:space="0" w:color="auto"/>
            <w:bottom w:val="none" w:sz="0" w:space="0" w:color="auto"/>
            <w:right w:val="none" w:sz="0" w:space="0" w:color="auto"/>
          </w:divBdr>
        </w:div>
        <w:div w:id="11352891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512692879">
              <w:marLeft w:val="0"/>
              <w:marRight w:val="0"/>
              <w:marTop w:val="0"/>
              <w:marBottom w:val="0"/>
              <w:divBdr>
                <w:top w:val="none" w:sz="0" w:space="0" w:color="auto"/>
                <w:left w:val="none" w:sz="0" w:space="0" w:color="auto"/>
                <w:bottom w:val="none" w:sz="0" w:space="0" w:color="auto"/>
                <w:right w:val="none" w:sz="0" w:space="0" w:color="auto"/>
              </w:divBdr>
              <w:divsChild>
                <w:div w:id="9458927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20453738">
              <w:marLeft w:val="0"/>
              <w:marRight w:val="0"/>
              <w:marTop w:val="0"/>
              <w:marBottom w:val="0"/>
              <w:divBdr>
                <w:top w:val="none" w:sz="0" w:space="0" w:color="auto"/>
                <w:left w:val="none" w:sz="0" w:space="0" w:color="auto"/>
                <w:bottom w:val="none" w:sz="0" w:space="0" w:color="auto"/>
                <w:right w:val="none" w:sz="0" w:space="0" w:color="auto"/>
              </w:divBdr>
              <w:divsChild>
                <w:div w:id="22977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19059475">
              <w:marLeft w:val="0"/>
              <w:marRight w:val="0"/>
              <w:marTop w:val="0"/>
              <w:marBottom w:val="0"/>
              <w:divBdr>
                <w:top w:val="none" w:sz="0" w:space="0" w:color="auto"/>
                <w:left w:val="none" w:sz="0" w:space="0" w:color="auto"/>
                <w:bottom w:val="none" w:sz="0" w:space="0" w:color="auto"/>
                <w:right w:val="none" w:sz="0" w:space="0" w:color="auto"/>
              </w:divBdr>
              <w:divsChild>
                <w:div w:id="179825817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43574434">
              <w:marLeft w:val="0"/>
              <w:marRight w:val="0"/>
              <w:marTop w:val="0"/>
              <w:marBottom w:val="0"/>
              <w:divBdr>
                <w:top w:val="none" w:sz="0" w:space="0" w:color="auto"/>
                <w:left w:val="none" w:sz="0" w:space="0" w:color="auto"/>
                <w:bottom w:val="none" w:sz="0" w:space="0" w:color="auto"/>
                <w:right w:val="none" w:sz="0" w:space="0" w:color="auto"/>
              </w:divBdr>
              <w:divsChild>
                <w:div w:id="76900581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92981888">
              <w:marLeft w:val="0"/>
              <w:marRight w:val="0"/>
              <w:marTop w:val="0"/>
              <w:marBottom w:val="0"/>
              <w:divBdr>
                <w:top w:val="none" w:sz="0" w:space="0" w:color="auto"/>
                <w:left w:val="none" w:sz="0" w:space="0" w:color="auto"/>
                <w:bottom w:val="none" w:sz="0" w:space="0" w:color="auto"/>
                <w:right w:val="none" w:sz="0" w:space="0" w:color="auto"/>
              </w:divBdr>
              <w:divsChild>
                <w:div w:id="3088275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471409654">
      <w:bodyDiv w:val="1"/>
      <w:marLeft w:val="0"/>
      <w:marRight w:val="0"/>
      <w:marTop w:val="0"/>
      <w:marBottom w:val="0"/>
      <w:divBdr>
        <w:top w:val="none" w:sz="0" w:space="0" w:color="auto"/>
        <w:left w:val="none" w:sz="0" w:space="0" w:color="auto"/>
        <w:bottom w:val="none" w:sz="0" w:space="0" w:color="auto"/>
        <w:right w:val="none" w:sz="0" w:space="0" w:color="auto"/>
      </w:divBdr>
      <w:divsChild>
        <w:div w:id="1860315318">
          <w:marLeft w:val="0"/>
          <w:marRight w:val="0"/>
          <w:marTop w:val="0"/>
          <w:marBottom w:val="0"/>
          <w:divBdr>
            <w:top w:val="none" w:sz="0" w:space="0" w:color="auto"/>
            <w:left w:val="none" w:sz="0" w:space="0" w:color="auto"/>
            <w:bottom w:val="none" w:sz="0" w:space="0" w:color="auto"/>
            <w:right w:val="none" w:sz="0" w:space="0" w:color="auto"/>
          </w:divBdr>
        </w:div>
        <w:div w:id="1949044100">
          <w:blockQuote w:val="1"/>
          <w:marLeft w:val="255"/>
          <w:marRight w:val="0"/>
          <w:marTop w:val="0"/>
          <w:marBottom w:val="150"/>
          <w:divBdr>
            <w:top w:val="none" w:sz="0" w:space="0" w:color="auto"/>
            <w:left w:val="none" w:sz="0" w:space="0" w:color="auto"/>
            <w:bottom w:val="none" w:sz="0" w:space="0" w:color="auto"/>
            <w:right w:val="none" w:sz="0" w:space="0" w:color="auto"/>
          </w:divBdr>
          <w:divsChild>
            <w:div w:id="47609648">
              <w:marLeft w:val="0"/>
              <w:marRight w:val="0"/>
              <w:marTop w:val="0"/>
              <w:marBottom w:val="0"/>
              <w:divBdr>
                <w:top w:val="none" w:sz="0" w:space="0" w:color="auto"/>
                <w:left w:val="none" w:sz="0" w:space="0" w:color="auto"/>
                <w:bottom w:val="none" w:sz="0" w:space="0" w:color="auto"/>
                <w:right w:val="none" w:sz="0" w:space="0" w:color="auto"/>
              </w:divBdr>
              <w:divsChild>
                <w:div w:id="1476990527">
                  <w:marLeft w:val="340"/>
                  <w:marRight w:val="0"/>
                  <w:marTop w:val="160"/>
                  <w:marBottom w:val="200"/>
                  <w:divBdr>
                    <w:top w:val="none" w:sz="0" w:space="0" w:color="auto"/>
                    <w:left w:val="none" w:sz="0" w:space="0" w:color="auto"/>
                    <w:bottom w:val="none" w:sz="0" w:space="0" w:color="auto"/>
                    <w:right w:val="none" w:sz="0" w:space="0" w:color="auto"/>
                  </w:divBdr>
                </w:div>
                <w:div w:id="194275983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890574921">
                      <w:marLeft w:val="0"/>
                      <w:marRight w:val="0"/>
                      <w:marTop w:val="0"/>
                      <w:marBottom w:val="0"/>
                      <w:divBdr>
                        <w:top w:val="none" w:sz="0" w:space="0" w:color="auto"/>
                        <w:left w:val="none" w:sz="0" w:space="0" w:color="auto"/>
                        <w:bottom w:val="none" w:sz="0" w:space="0" w:color="auto"/>
                        <w:right w:val="none" w:sz="0" w:space="0" w:color="auto"/>
                      </w:divBdr>
                      <w:divsChild>
                        <w:div w:id="211597631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32901912">
                      <w:marLeft w:val="0"/>
                      <w:marRight w:val="0"/>
                      <w:marTop w:val="0"/>
                      <w:marBottom w:val="0"/>
                      <w:divBdr>
                        <w:top w:val="none" w:sz="0" w:space="0" w:color="auto"/>
                        <w:left w:val="none" w:sz="0" w:space="0" w:color="auto"/>
                        <w:bottom w:val="none" w:sz="0" w:space="0" w:color="auto"/>
                        <w:right w:val="none" w:sz="0" w:space="0" w:color="auto"/>
                      </w:divBdr>
                      <w:divsChild>
                        <w:div w:id="8795860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45786943">
                      <w:marLeft w:val="0"/>
                      <w:marRight w:val="0"/>
                      <w:marTop w:val="0"/>
                      <w:marBottom w:val="0"/>
                      <w:divBdr>
                        <w:top w:val="none" w:sz="0" w:space="0" w:color="auto"/>
                        <w:left w:val="none" w:sz="0" w:space="0" w:color="auto"/>
                        <w:bottom w:val="none" w:sz="0" w:space="0" w:color="auto"/>
                        <w:right w:val="none" w:sz="0" w:space="0" w:color="auto"/>
                      </w:divBdr>
                      <w:divsChild>
                        <w:div w:id="21048350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809282007">
              <w:marLeft w:val="0"/>
              <w:marRight w:val="0"/>
              <w:marTop w:val="0"/>
              <w:marBottom w:val="0"/>
              <w:divBdr>
                <w:top w:val="none" w:sz="0" w:space="0" w:color="auto"/>
                <w:left w:val="none" w:sz="0" w:space="0" w:color="auto"/>
                <w:bottom w:val="none" w:sz="0" w:space="0" w:color="auto"/>
                <w:right w:val="none" w:sz="0" w:space="0" w:color="auto"/>
              </w:divBdr>
              <w:divsChild>
                <w:div w:id="181747423">
                  <w:marLeft w:val="340"/>
                  <w:marRight w:val="0"/>
                  <w:marTop w:val="160"/>
                  <w:marBottom w:val="200"/>
                  <w:divBdr>
                    <w:top w:val="none" w:sz="0" w:space="0" w:color="auto"/>
                    <w:left w:val="none" w:sz="0" w:space="0" w:color="auto"/>
                    <w:bottom w:val="none" w:sz="0" w:space="0" w:color="auto"/>
                    <w:right w:val="none" w:sz="0" w:space="0" w:color="auto"/>
                  </w:divBdr>
                </w:div>
                <w:div w:id="518392015">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251276992">
              <w:marLeft w:val="0"/>
              <w:marRight w:val="0"/>
              <w:marTop w:val="0"/>
              <w:marBottom w:val="0"/>
              <w:divBdr>
                <w:top w:val="none" w:sz="0" w:space="0" w:color="auto"/>
                <w:left w:val="none" w:sz="0" w:space="0" w:color="auto"/>
                <w:bottom w:val="none" w:sz="0" w:space="0" w:color="auto"/>
                <w:right w:val="none" w:sz="0" w:space="0" w:color="auto"/>
              </w:divBdr>
              <w:divsChild>
                <w:div w:id="887107355">
                  <w:marLeft w:val="340"/>
                  <w:marRight w:val="0"/>
                  <w:marTop w:val="160"/>
                  <w:marBottom w:val="200"/>
                  <w:divBdr>
                    <w:top w:val="none" w:sz="0" w:space="0" w:color="auto"/>
                    <w:left w:val="none" w:sz="0" w:space="0" w:color="auto"/>
                    <w:bottom w:val="none" w:sz="0" w:space="0" w:color="auto"/>
                    <w:right w:val="none" w:sz="0" w:space="0" w:color="auto"/>
                  </w:divBdr>
                </w:div>
                <w:div w:id="92237353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813132071">
              <w:marLeft w:val="0"/>
              <w:marRight w:val="0"/>
              <w:marTop w:val="0"/>
              <w:marBottom w:val="0"/>
              <w:divBdr>
                <w:top w:val="none" w:sz="0" w:space="0" w:color="auto"/>
                <w:left w:val="none" w:sz="0" w:space="0" w:color="auto"/>
                <w:bottom w:val="none" w:sz="0" w:space="0" w:color="auto"/>
                <w:right w:val="none" w:sz="0" w:space="0" w:color="auto"/>
              </w:divBdr>
              <w:divsChild>
                <w:div w:id="552279983">
                  <w:marLeft w:val="340"/>
                  <w:marRight w:val="0"/>
                  <w:marTop w:val="160"/>
                  <w:marBottom w:val="200"/>
                  <w:divBdr>
                    <w:top w:val="none" w:sz="0" w:space="0" w:color="auto"/>
                    <w:left w:val="none" w:sz="0" w:space="0" w:color="auto"/>
                    <w:bottom w:val="none" w:sz="0" w:space="0" w:color="auto"/>
                    <w:right w:val="none" w:sz="0" w:space="0" w:color="auto"/>
                  </w:divBdr>
                </w:div>
                <w:div w:id="2140687285">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494490172">
      <w:bodyDiv w:val="1"/>
      <w:marLeft w:val="0"/>
      <w:marRight w:val="0"/>
      <w:marTop w:val="0"/>
      <w:marBottom w:val="0"/>
      <w:divBdr>
        <w:top w:val="none" w:sz="0" w:space="0" w:color="auto"/>
        <w:left w:val="none" w:sz="0" w:space="0" w:color="auto"/>
        <w:bottom w:val="none" w:sz="0" w:space="0" w:color="auto"/>
        <w:right w:val="none" w:sz="0" w:space="0" w:color="auto"/>
      </w:divBdr>
      <w:divsChild>
        <w:div w:id="1822304875">
          <w:marLeft w:val="340"/>
          <w:marRight w:val="0"/>
          <w:marTop w:val="160"/>
          <w:marBottom w:val="200"/>
          <w:divBdr>
            <w:top w:val="none" w:sz="0" w:space="0" w:color="auto"/>
            <w:left w:val="none" w:sz="0" w:space="0" w:color="auto"/>
            <w:bottom w:val="none" w:sz="0" w:space="0" w:color="auto"/>
            <w:right w:val="none" w:sz="0" w:space="0" w:color="auto"/>
          </w:divBdr>
        </w:div>
        <w:div w:id="2019189928">
          <w:marLeft w:val="0"/>
          <w:marRight w:val="0"/>
          <w:marTop w:val="0"/>
          <w:marBottom w:val="0"/>
          <w:divBdr>
            <w:top w:val="none" w:sz="0" w:space="0" w:color="auto"/>
            <w:left w:val="none" w:sz="0" w:space="0" w:color="auto"/>
            <w:bottom w:val="none" w:sz="0" w:space="0" w:color="auto"/>
            <w:right w:val="none" w:sz="0" w:space="0" w:color="auto"/>
          </w:divBdr>
          <w:divsChild>
            <w:div w:id="1877935702">
              <w:marLeft w:val="340"/>
              <w:marRight w:val="0"/>
              <w:marTop w:val="160"/>
              <w:marBottom w:val="200"/>
              <w:divBdr>
                <w:top w:val="none" w:sz="0" w:space="0" w:color="auto"/>
                <w:left w:val="none" w:sz="0" w:space="0" w:color="auto"/>
                <w:bottom w:val="none" w:sz="0" w:space="0" w:color="auto"/>
                <w:right w:val="none" w:sz="0" w:space="0" w:color="auto"/>
              </w:divBdr>
            </w:div>
            <w:div w:id="183279369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10119368">
                  <w:blockQuote w:val="1"/>
                  <w:marLeft w:val="400"/>
                  <w:marRight w:val="0"/>
                  <w:marTop w:val="160"/>
                  <w:marBottom w:val="200"/>
                  <w:divBdr>
                    <w:top w:val="none" w:sz="0" w:space="0" w:color="auto"/>
                    <w:left w:val="none" w:sz="0" w:space="0" w:color="auto"/>
                    <w:bottom w:val="none" w:sz="0" w:space="0" w:color="auto"/>
                    <w:right w:val="none" w:sz="0" w:space="0" w:color="auto"/>
                  </w:divBdr>
                </w:div>
                <w:div w:id="1303345715">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37173204">
                      <w:marLeft w:val="0"/>
                      <w:marRight w:val="0"/>
                      <w:marTop w:val="0"/>
                      <w:marBottom w:val="0"/>
                      <w:divBdr>
                        <w:top w:val="none" w:sz="0" w:space="0" w:color="auto"/>
                        <w:left w:val="none" w:sz="0" w:space="0" w:color="auto"/>
                        <w:bottom w:val="none" w:sz="0" w:space="0" w:color="auto"/>
                        <w:right w:val="none" w:sz="0" w:space="0" w:color="auto"/>
                      </w:divBdr>
                      <w:divsChild>
                        <w:div w:id="126788201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93384526">
                      <w:marLeft w:val="0"/>
                      <w:marRight w:val="0"/>
                      <w:marTop w:val="0"/>
                      <w:marBottom w:val="0"/>
                      <w:divBdr>
                        <w:top w:val="none" w:sz="0" w:space="0" w:color="auto"/>
                        <w:left w:val="none" w:sz="0" w:space="0" w:color="auto"/>
                        <w:bottom w:val="none" w:sz="0" w:space="0" w:color="auto"/>
                        <w:right w:val="none" w:sz="0" w:space="0" w:color="auto"/>
                      </w:divBdr>
                      <w:divsChild>
                        <w:div w:id="48813368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38190208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2151396">
                      <w:marLeft w:val="0"/>
                      <w:marRight w:val="0"/>
                      <w:marTop w:val="0"/>
                      <w:marBottom w:val="0"/>
                      <w:divBdr>
                        <w:top w:val="none" w:sz="0" w:space="0" w:color="auto"/>
                        <w:left w:val="none" w:sz="0" w:space="0" w:color="auto"/>
                        <w:bottom w:val="none" w:sz="0" w:space="0" w:color="auto"/>
                        <w:right w:val="none" w:sz="0" w:space="0" w:color="auto"/>
                      </w:divBdr>
                      <w:divsChild>
                        <w:div w:id="5369385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88868374">
                      <w:marLeft w:val="0"/>
                      <w:marRight w:val="0"/>
                      <w:marTop w:val="0"/>
                      <w:marBottom w:val="0"/>
                      <w:divBdr>
                        <w:top w:val="none" w:sz="0" w:space="0" w:color="auto"/>
                        <w:left w:val="none" w:sz="0" w:space="0" w:color="auto"/>
                        <w:bottom w:val="none" w:sz="0" w:space="0" w:color="auto"/>
                        <w:right w:val="none" w:sz="0" w:space="0" w:color="auto"/>
                      </w:divBdr>
                      <w:divsChild>
                        <w:div w:id="76087862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88854971">
                      <w:marLeft w:val="0"/>
                      <w:marRight w:val="0"/>
                      <w:marTop w:val="0"/>
                      <w:marBottom w:val="0"/>
                      <w:divBdr>
                        <w:top w:val="none" w:sz="0" w:space="0" w:color="auto"/>
                        <w:left w:val="none" w:sz="0" w:space="0" w:color="auto"/>
                        <w:bottom w:val="none" w:sz="0" w:space="0" w:color="auto"/>
                        <w:right w:val="none" w:sz="0" w:space="0" w:color="auto"/>
                      </w:divBdr>
                      <w:divsChild>
                        <w:div w:id="15917693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22658128">
                      <w:marLeft w:val="0"/>
                      <w:marRight w:val="0"/>
                      <w:marTop w:val="0"/>
                      <w:marBottom w:val="0"/>
                      <w:divBdr>
                        <w:top w:val="none" w:sz="0" w:space="0" w:color="auto"/>
                        <w:left w:val="none" w:sz="0" w:space="0" w:color="auto"/>
                        <w:bottom w:val="none" w:sz="0" w:space="0" w:color="auto"/>
                        <w:right w:val="none" w:sz="0" w:space="0" w:color="auto"/>
                      </w:divBdr>
                      <w:divsChild>
                        <w:div w:id="70636744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73660613">
                      <w:marLeft w:val="0"/>
                      <w:marRight w:val="0"/>
                      <w:marTop w:val="0"/>
                      <w:marBottom w:val="0"/>
                      <w:divBdr>
                        <w:top w:val="none" w:sz="0" w:space="0" w:color="auto"/>
                        <w:left w:val="none" w:sz="0" w:space="0" w:color="auto"/>
                        <w:bottom w:val="none" w:sz="0" w:space="0" w:color="auto"/>
                        <w:right w:val="none" w:sz="0" w:space="0" w:color="auto"/>
                      </w:divBdr>
                      <w:divsChild>
                        <w:div w:id="64947796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95542319">
                      <w:marLeft w:val="0"/>
                      <w:marRight w:val="0"/>
                      <w:marTop w:val="0"/>
                      <w:marBottom w:val="0"/>
                      <w:divBdr>
                        <w:top w:val="none" w:sz="0" w:space="0" w:color="auto"/>
                        <w:left w:val="none" w:sz="0" w:space="0" w:color="auto"/>
                        <w:bottom w:val="none" w:sz="0" w:space="0" w:color="auto"/>
                        <w:right w:val="none" w:sz="0" w:space="0" w:color="auto"/>
                      </w:divBdr>
                      <w:divsChild>
                        <w:div w:id="192927170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2819552">
                      <w:marLeft w:val="0"/>
                      <w:marRight w:val="0"/>
                      <w:marTop w:val="0"/>
                      <w:marBottom w:val="0"/>
                      <w:divBdr>
                        <w:top w:val="none" w:sz="0" w:space="0" w:color="auto"/>
                        <w:left w:val="none" w:sz="0" w:space="0" w:color="auto"/>
                        <w:bottom w:val="none" w:sz="0" w:space="0" w:color="auto"/>
                        <w:right w:val="none" w:sz="0" w:space="0" w:color="auto"/>
                      </w:divBdr>
                      <w:divsChild>
                        <w:div w:id="154890611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1224592">
                      <w:marLeft w:val="0"/>
                      <w:marRight w:val="0"/>
                      <w:marTop w:val="0"/>
                      <w:marBottom w:val="0"/>
                      <w:divBdr>
                        <w:top w:val="none" w:sz="0" w:space="0" w:color="auto"/>
                        <w:left w:val="none" w:sz="0" w:space="0" w:color="auto"/>
                        <w:bottom w:val="none" w:sz="0" w:space="0" w:color="auto"/>
                        <w:right w:val="none" w:sz="0" w:space="0" w:color="auto"/>
                      </w:divBdr>
                      <w:divsChild>
                        <w:div w:id="213794782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26799884">
                  <w:marLeft w:val="0"/>
                  <w:marRight w:val="0"/>
                  <w:marTop w:val="0"/>
                  <w:marBottom w:val="0"/>
                  <w:divBdr>
                    <w:top w:val="none" w:sz="0" w:space="0" w:color="auto"/>
                    <w:left w:val="none" w:sz="0" w:space="0" w:color="auto"/>
                    <w:bottom w:val="none" w:sz="0" w:space="0" w:color="auto"/>
                    <w:right w:val="none" w:sz="0" w:space="0" w:color="auto"/>
                  </w:divBdr>
                  <w:divsChild>
                    <w:div w:id="1338658743">
                      <w:marLeft w:val="0"/>
                      <w:marRight w:val="0"/>
                      <w:marTop w:val="160"/>
                      <w:marBottom w:val="200"/>
                      <w:divBdr>
                        <w:top w:val="none" w:sz="0" w:space="0" w:color="auto"/>
                        <w:left w:val="none" w:sz="0" w:space="0" w:color="auto"/>
                        <w:bottom w:val="none" w:sz="0" w:space="0" w:color="auto"/>
                        <w:right w:val="none" w:sz="0" w:space="0" w:color="auto"/>
                      </w:divBdr>
                    </w:div>
                    <w:div w:id="1168861936">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616107316">
      <w:bodyDiv w:val="1"/>
      <w:marLeft w:val="0"/>
      <w:marRight w:val="0"/>
      <w:marTop w:val="0"/>
      <w:marBottom w:val="0"/>
      <w:divBdr>
        <w:top w:val="none" w:sz="0" w:space="0" w:color="auto"/>
        <w:left w:val="none" w:sz="0" w:space="0" w:color="auto"/>
        <w:bottom w:val="none" w:sz="0" w:space="0" w:color="auto"/>
        <w:right w:val="none" w:sz="0" w:space="0" w:color="auto"/>
      </w:divBdr>
      <w:divsChild>
        <w:div w:id="1535459315">
          <w:marLeft w:val="0"/>
          <w:marRight w:val="0"/>
          <w:marTop w:val="0"/>
          <w:marBottom w:val="0"/>
          <w:divBdr>
            <w:top w:val="none" w:sz="0" w:space="0" w:color="auto"/>
            <w:left w:val="none" w:sz="0" w:space="0" w:color="auto"/>
            <w:bottom w:val="none" w:sz="0" w:space="0" w:color="auto"/>
            <w:right w:val="none" w:sz="0" w:space="0" w:color="auto"/>
          </w:divBdr>
        </w:div>
        <w:div w:id="165366840">
          <w:blockQuote w:val="1"/>
          <w:marLeft w:val="255"/>
          <w:marRight w:val="0"/>
          <w:marTop w:val="0"/>
          <w:marBottom w:val="150"/>
          <w:divBdr>
            <w:top w:val="none" w:sz="0" w:space="0" w:color="auto"/>
            <w:left w:val="none" w:sz="0" w:space="0" w:color="auto"/>
            <w:bottom w:val="none" w:sz="0" w:space="0" w:color="auto"/>
            <w:right w:val="none" w:sz="0" w:space="0" w:color="auto"/>
          </w:divBdr>
          <w:divsChild>
            <w:div w:id="2136479020">
              <w:marLeft w:val="0"/>
              <w:marRight w:val="0"/>
              <w:marTop w:val="0"/>
              <w:marBottom w:val="0"/>
              <w:divBdr>
                <w:top w:val="none" w:sz="0" w:space="0" w:color="auto"/>
                <w:left w:val="none" w:sz="0" w:space="0" w:color="auto"/>
                <w:bottom w:val="none" w:sz="0" w:space="0" w:color="auto"/>
                <w:right w:val="none" w:sz="0" w:space="0" w:color="auto"/>
              </w:divBdr>
              <w:divsChild>
                <w:div w:id="1573589262">
                  <w:marLeft w:val="340"/>
                  <w:marRight w:val="0"/>
                  <w:marTop w:val="160"/>
                  <w:marBottom w:val="200"/>
                  <w:divBdr>
                    <w:top w:val="none" w:sz="0" w:space="0" w:color="auto"/>
                    <w:left w:val="none" w:sz="0" w:space="0" w:color="auto"/>
                    <w:bottom w:val="none" w:sz="0" w:space="0" w:color="auto"/>
                    <w:right w:val="none" w:sz="0" w:space="0" w:color="auto"/>
                  </w:divBdr>
                </w:div>
                <w:div w:id="177917885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851604782">
                      <w:marLeft w:val="0"/>
                      <w:marRight w:val="0"/>
                      <w:marTop w:val="0"/>
                      <w:marBottom w:val="0"/>
                      <w:divBdr>
                        <w:top w:val="none" w:sz="0" w:space="0" w:color="auto"/>
                        <w:left w:val="none" w:sz="0" w:space="0" w:color="auto"/>
                        <w:bottom w:val="none" w:sz="0" w:space="0" w:color="auto"/>
                        <w:right w:val="none" w:sz="0" w:space="0" w:color="auto"/>
                      </w:divBdr>
                      <w:divsChild>
                        <w:div w:id="158861208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16400608">
                      <w:marLeft w:val="0"/>
                      <w:marRight w:val="0"/>
                      <w:marTop w:val="0"/>
                      <w:marBottom w:val="0"/>
                      <w:divBdr>
                        <w:top w:val="none" w:sz="0" w:space="0" w:color="auto"/>
                        <w:left w:val="none" w:sz="0" w:space="0" w:color="auto"/>
                        <w:bottom w:val="none" w:sz="0" w:space="0" w:color="auto"/>
                        <w:right w:val="none" w:sz="0" w:space="0" w:color="auto"/>
                      </w:divBdr>
                      <w:divsChild>
                        <w:div w:id="1036213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71701603">
                      <w:marLeft w:val="0"/>
                      <w:marRight w:val="0"/>
                      <w:marTop w:val="0"/>
                      <w:marBottom w:val="0"/>
                      <w:divBdr>
                        <w:top w:val="none" w:sz="0" w:space="0" w:color="auto"/>
                        <w:left w:val="none" w:sz="0" w:space="0" w:color="auto"/>
                        <w:bottom w:val="none" w:sz="0" w:space="0" w:color="auto"/>
                        <w:right w:val="none" w:sz="0" w:space="0" w:color="auto"/>
                      </w:divBdr>
                      <w:divsChild>
                        <w:div w:id="111969066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48382834">
                      <w:marLeft w:val="0"/>
                      <w:marRight w:val="0"/>
                      <w:marTop w:val="0"/>
                      <w:marBottom w:val="0"/>
                      <w:divBdr>
                        <w:top w:val="none" w:sz="0" w:space="0" w:color="auto"/>
                        <w:left w:val="none" w:sz="0" w:space="0" w:color="auto"/>
                        <w:bottom w:val="none" w:sz="0" w:space="0" w:color="auto"/>
                        <w:right w:val="none" w:sz="0" w:space="0" w:color="auto"/>
                      </w:divBdr>
                      <w:divsChild>
                        <w:div w:id="170494229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860900327">
              <w:marLeft w:val="0"/>
              <w:marRight w:val="0"/>
              <w:marTop w:val="0"/>
              <w:marBottom w:val="0"/>
              <w:divBdr>
                <w:top w:val="none" w:sz="0" w:space="0" w:color="auto"/>
                <w:left w:val="none" w:sz="0" w:space="0" w:color="auto"/>
                <w:bottom w:val="none" w:sz="0" w:space="0" w:color="auto"/>
                <w:right w:val="none" w:sz="0" w:space="0" w:color="auto"/>
              </w:divBdr>
              <w:divsChild>
                <w:div w:id="962082360">
                  <w:marLeft w:val="340"/>
                  <w:marRight w:val="0"/>
                  <w:marTop w:val="160"/>
                  <w:marBottom w:val="200"/>
                  <w:divBdr>
                    <w:top w:val="none" w:sz="0" w:space="0" w:color="auto"/>
                    <w:left w:val="none" w:sz="0" w:space="0" w:color="auto"/>
                    <w:bottom w:val="none" w:sz="0" w:space="0" w:color="auto"/>
                    <w:right w:val="none" w:sz="0" w:space="0" w:color="auto"/>
                  </w:divBdr>
                </w:div>
                <w:div w:id="268198189">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50274120">
              <w:marLeft w:val="0"/>
              <w:marRight w:val="0"/>
              <w:marTop w:val="0"/>
              <w:marBottom w:val="0"/>
              <w:divBdr>
                <w:top w:val="none" w:sz="0" w:space="0" w:color="auto"/>
                <w:left w:val="none" w:sz="0" w:space="0" w:color="auto"/>
                <w:bottom w:val="none" w:sz="0" w:space="0" w:color="auto"/>
                <w:right w:val="none" w:sz="0" w:space="0" w:color="auto"/>
              </w:divBdr>
              <w:divsChild>
                <w:div w:id="2032293223">
                  <w:marLeft w:val="340"/>
                  <w:marRight w:val="0"/>
                  <w:marTop w:val="160"/>
                  <w:marBottom w:val="200"/>
                  <w:divBdr>
                    <w:top w:val="none" w:sz="0" w:space="0" w:color="auto"/>
                    <w:left w:val="none" w:sz="0" w:space="0" w:color="auto"/>
                    <w:bottom w:val="none" w:sz="0" w:space="0" w:color="auto"/>
                    <w:right w:val="none" w:sz="0" w:space="0" w:color="auto"/>
                  </w:divBdr>
                </w:div>
                <w:div w:id="1958485848">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870386265">
              <w:marLeft w:val="0"/>
              <w:marRight w:val="0"/>
              <w:marTop w:val="0"/>
              <w:marBottom w:val="0"/>
              <w:divBdr>
                <w:top w:val="none" w:sz="0" w:space="0" w:color="auto"/>
                <w:left w:val="none" w:sz="0" w:space="0" w:color="auto"/>
                <w:bottom w:val="none" w:sz="0" w:space="0" w:color="auto"/>
                <w:right w:val="none" w:sz="0" w:space="0" w:color="auto"/>
              </w:divBdr>
              <w:divsChild>
                <w:div w:id="346444673">
                  <w:marLeft w:val="340"/>
                  <w:marRight w:val="0"/>
                  <w:marTop w:val="160"/>
                  <w:marBottom w:val="200"/>
                  <w:divBdr>
                    <w:top w:val="none" w:sz="0" w:space="0" w:color="auto"/>
                    <w:left w:val="none" w:sz="0" w:space="0" w:color="auto"/>
                    <w:bottom w:val="none" w:sz="0" w:space="0" w:color="auto"/>
                    <w:right w:val="none" w:sz="0" w:space="0" w:color="auto"/>
                  </w:divBdr>
                </w:div>
                <w:div w:id="77359646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623921326">
      <w:bodyDiv w:val="1"/>
      <w:marLeft w:val="0"/>
      <w:marRight w:val="0"/>
      <w:marTop w:val="0"/>
      <w:marBottom w:val="0"/>
      <w:divBdr>
        <w:top w:val="none" w:sz="0" w:space="0" w:color="auto"/>
        <w:left w:val="none" w:sz="0" w:space="0" w:color="auto"/>
        <w:bottom w:val="none" w:sz="0" w:space="0" w:color="auto"/>
        <w:right w:val="none" w:sz="0" w:space="0" w:color="auto"/>
      </w:divBdr>
      <w:divsChild>
        <w:div w:id="1563366266">
          <w:marLeft w:val="340"/>
          <w:marRight w:val="0"/>
          <w:marTop w:val="160"/>
          <w:marBottom w:val="200"/>
          <w:divBdr>
            <w:top w:val="none" w:sz="0" w:space="0" w:color="auto"/>
            <w:left w:val="none" w:sz="0" w:space="0" w:color="auto"/>
            <w:bottom w:val="none" w:sz="0" w:space="0" w:color="auto"/>
            <w:right w:val="none" w:sz="0" w:space="0" w:color="auto"/>
          </w:divBdr>
        </w:div>
        <w:div w:id="60268988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399831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704401969">
      <w:bodyDiv w:val="1"/>
      <w:marLeft w:val="0"/>
      <w:marRight w:val="0"/>
      <w:marTop w:val="0"/>
      <w:marBottom w:val="0"/>
      <w:divBdr>
        <w:top w:val="none" w:sz="0" w:space="0" w:color="auto"/>
        <w:left w:val="none" w:sz="0" w:space="0" w:color="auto"/>
        <w:bottom w:val="none" w:sz="0" w:space="0" w:color="auto"/>
        <w:right w:val="none" w:sz="0" w:space="0" w:color="auto"/>
      </w:divBdr>
    </w:div>
    <w:div w:id="851064611">
      <w:bodyDiv w:val="1"/>
      <w:marLeft w:val="0"/>
      <w:marRight w:val="0"/>
      <w:marTop w:val="0"/>
      <w:marBottom w:val="0"/>
      <w:divBdr>
        <w:top w:val="none" w:sz="0" w:space="0" w:color="auto"/>
        <w:left w:val="none" w:sz="0" w:space="0" w:color="auto"/>
        <w:bottom w:val="none" w:sz="0" w:space="0" w:color="auto"/>
        <w:right w:val="none" w:sz="0" w:space="0" w:color="auto"/>
      </w:divBdr>
      <w:divsChild>
        <w:div w:id="40836561">
          <w:marLeft w:val="340"/>
          <w:marRight w:val="0"/>
          <w:marTop w:val="160"/>
          <w:marBottom w:val="200"/>
          <w:divBdr>
            <w:top w:val="none" w:sz="0" w:space="0" w:color="auto"/>
            <w:left w:val="none" w:sz="0" w:space="0" w:color="auto"/>
            <w:bottom w:val="none" w:sz="0" w:space="0" w:color="auto"/>
            <w:right w:val="none" w:sz="0" w:space="0" w:color="auto"/>
          </w:divBdr>
        </w:div>
        <w:div w:id="75505613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095921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114328922">
                  <w:marLeft w:val="0"/>
                  <w:marRight w:val="0"/>
                  <w:marTop w:val="0"/>
                  <w:marBottom w:val="0"/>
                  <w:divBdr>
                    <w:top w:val="none" w:sz="0" w:space="0" w:color="auto"/>
                    <w:left w:val="none" w:sz="0" w:space="0" w:color="auto"/>
                    <w:bottom w:val="none" w:sz="0" w:space="0" w:color="auto"/>
                    <w:right w:val="none" w:sz="0" w:space="0" w:color="auto"/>
                  </w:divBdr>
                  <w:divsChild>
                    <w:div w:id="162719423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2953086">
                  <w:marLeft w:val="0"/>
                  <w:marRight w:val="0"/>
                  <w:marTop w:val="0"/>
                  <w:marBottom w:val="0"/>
                  <w:divBdr>
                    <w:top w:val="none" w:sz="0" w:space="0" w:color="auto"/>
                    <w:left w:val="none" w:sz="0" w:space="0" w:color="auto"/>
                    <w:bottom w:val="none" w:sz="0" w:space="0" w:color="auto"/>
                    <w:right w:val="none" w:sz="0" w:space="0" w:color="auto"/>
                  </w:divBdr>
                  <w:divsChild>
                    <w:div w:id="12284986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02607940">
                  <w:marLeft w:val="0"/>
                  <w:marRight w:val="0"/>
                  <w:marTop w:val="0"/>
                  <w:marBottom w:val="0"/>
                  <w:divBdr>
                    <w:top w:val="none" w:sz="0" w:space="0" w:color="auto"/>
                    <w:left w:val="none" w:sz="0" w:space="0" w:color="auto"/>
                    <w:bottom w:val="none" w:sz="0" w:space="0" w:color="auto"/>
                    <w:right w:val="none" w:sz="0" w:space="0" w:color="auto"/>
                  </w:divBdr>
                  <w:divsChild>
                    <w:div w:id="20592808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4909083">
                  <w:marLeft w:val="0"/>
                  <w:marRight w:val="0"/>
                  <w:marTop w:val="0"/>
                  <w:marBottom w:val="0"/>
                  <w:divBdr>
                    <w:top w:val="none" w:sz="0" w:space="0" w:color="auto"/>
                    <w:left w:val="none" w:sz="0" w:space="0" w:color="auto"/>
                    <w:bottom w:val="none" w:sz="0" w:space="0" w:color="auto"/>
                    <w:right w:val="none" w:sz="0" w:space="0" w:color="auto"/>
                  </w:divBdr>
                  <w:divsChild>
                    <w:div w:id="3527257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75636195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077437636">
                  <w:marLeft w:val="0"/>
                  <w:marRight w:val="0"/>
                  <w:marTop w:val="0"/>
                  <w:marBottom w:val="0"/>
                  <w:divBdr>
                    <w:top w:val="none" w:sz="0" w:space="0" w:color="auto"/>
                    <w:left w:val="none" w:sz="0" w:space="0" w:color="auto"/>
                    <w:bottom w:val="none" w:sz="0" w:space="0" w:color="auto"/>
                    <w:right w:val="none" w:sz="0" w:space="0" w:color="auto"/>
                  </w:divBdr>
                  <w:divsChild>
                    <w:div w:id="13915234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58165519">
                  <w:marLeft w:val="0"/>
                  <w:marRight w:val="0"/>
                  <w:marTop w:val="0"/>
                  <w:marBottom w:val="0"/>
                  <w:divBdr>
                    <w:top w:val="none" w:sz="0" w:space="0" w:color="auto"/>
                    <w:left w:val="none" w:sz="0" w:space="0" w:color="auto"/>
                    <w:bottom w:val="none" w:sz="0" w:space="0" w:color="auto"/>
                    <w:right w:val="none" w:sz="0" w:space="0" w:color="auto"/>
                  </w:divBdr>
                  <w:divsChild>
                    <w:div w:id="155079757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08042371">
                  <w:marLeft w:val="0"/>
                  <w:marRight w:val="0"/>
                  <w:marTop w:val="0"/>
                  <w:marBottom w:val="0"/>
                  <w:divBdr>
                    <w:top w:val="none" w:sz="0" w:space="0" w:color="auto"/>
                    <w:left w:val="none" w:sz="0" w:space="0" w:color="auto"/>
                    <w:bottom w:val="none" w:sz="0" w:space="0" w:color="auto"/>
                    <w:right w:val="none" w:sz="0" w:space="0" w:color="auto"/>
                  </w:divBdr>
                  <w:divsChild>
                    <w:div w:id="14825765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47273504">
                  <w:marLeft w:val="0"/>
                  <w:marRight w:val="0"/>
                  <w:marTop w:val="0"/>
                  <w:marBottom w:val="0"/>
                  <w:divBdr>
                    <w:top w:val="none" w:sz="0" w:space="0" w:color="auto"/>
                    <w:left w:val="none" w:sz="0" w:space="0" w:color="auto"/>
                    <w:bottom w:val="none" w:sz="0" w:space="0" w:color="auto"/>
                    <w:right w:val="none" w:sz="0" w:space="0" w:color="auto"/>
                  </w:divBdr>
                  <w:divsChild>
                    <w:div w:id="2441532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7646921">
                  <w:marLeft w:val="0"/>
                  <w:marRight w:val="0"/>
                  <w:marTop w:val="0"/>
                  <w:marBottom w:val="0"/>
                  <w:divBdr>
                    <w:top w:val="none" w:sz="0" w:space="0" w:color="auto"/>
                    <w:left w:val="none" w:sz="0" w:space="0" w:color="auto"/>
                    <w:bottom w:val="none" w:sz="0" w:space="0" w:color="auto"/>
                    <w:right w:val="none" w:sz="0" w:space="0" w:color="auto"/>
                  </w:divBdr>
                  <w:divsChild>
                    <w:div w:id="6685399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253514699">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098671358">
                  <w:marLeft w:val="0"/>
                  <w:marRight w:val="0"/>
                  <w:marTop w:val="0"/>
                  <w:marBottom w:val="0"/>
                  <w:divBdr>
                    <w:top w:val="none" w:sz="0" w:space="0" w:color="auto"/>
                    <w:left w:val="none" w:sz="0" w:space="0" w:color="auto"/>
                    <w:bottom w:val="none" w:sz="0" w:space="0" w:color="auto"/>
                    <w:right w:val="none" w:sz="0" w:space="0" w:color="auto"/>
                  </w:divBdr>
                  <w:divsChild>
                    <w:div w:id="136197991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89776240">
                  <w:marLeft w:val="0"/>
                  <w:marRight w:val="0"/>
                  <w:marTop w:val="0"/>
                  <w:marBottom w:val="0"/>
                  <w:divBdr>
                    <w:top w:val="none" w:sz="0" w:space="0" w:color="auto"/>
                    <w:left w:val="none" w:sz="0" w:space="0" w:color="auto"/>
                    <w:bottom w:val="none" w:sz="0" w:space="0" w:color="auto"/>
                    <w:right w:val="none" w:sz="0" w:space="0" w:color="auto"/>
                  </w:divBdr>
                  <w:divsChild>
                    <w:div w:id="13106671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60713728">
                  <w:marLeft w:val="0"/>
                  <w:marRight w:val="0"/>
                  <w:marTop w:val="0"/>
                  <w:marBottom w:val="0"/>
                  <w:divBdr>
                    <w:top w:val="none" w:sz="0" w:space="0" w:color="auto"/>
                    <w:left w:val="none" w:sz="0" w:space="0" w:color="auto"/>
                    <w:bottom w:val="none" w:sz="0" w:space="0" w:color="auto"/>
                    <w:right w:val="none" w:sz="0" w:space="0" w:color="auto"/>
                  </w:divBdr>
                  <w:divsChild>
                    <w:div w:id="9043432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15457145">
                  <w:marLeft w:val="0"/>
                  <w:marRight w:val="0"/>
                  <w:marTop w:val="0"/>
                  <w:marBottom w:val="0"/>
                  <w:divBdr>
                    <w:top w:val="none" w:sz="0" w:space="0" w:color="auto"/>
                    <w:left w:val="none" w:sz="0" w:space="0" w:color="auto"/>
                    <w:bottom w:val="none" w:sz="0" w:space="0" w:color="auto"/>
                    <w:right w:val="none" w:sz="0" w:space="0" w:color="auto"/>
                  </w:divBdr>
                  <w:divsChild>
                    <w:div w:id="67361036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82292786">
              <w:blockQuote w:val="1"/>
              <w:marLeft w:val="400"/>
              <w:marRight w:val="0"/>
              <w:marTop w:val="160"/>
              <w:marBottom w:val="200"/>
              <w:divBdr>
                <w:top w:val="none" w:sz="0" w:space="0" w:color="auto"/>
                <w:left w:val="none" w:sz="0" w:space="0" w:color="auto"/>
                <w:bottom w:val="none" w:sz="0" w:space="0" w:color="auto"/>
                <w:right w:val="none" w:sz="0" w:space="0" w:color="auto"/>
              </w:divBdr>
            </w:div>
            <w:div w:id="649284978">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891889964">
                  <w:marLeft w:val="0"/>
                  <w:marRight w:val="0"/>
                  <w:marTop w:val="160"/>
                  <w:marBottom w:val="200"/>
                  <w:divBdr>
                    <w:top w:val="none" w:sz="0" w:space="0" w:color="auto"/>
                    <w:left w:val="none" w:sz="0" w:space="0" w:color="auto"/>
                    <w:bottom w:val="none" w:sz="0" w:space="0" w:color="auto"/>
                    <w:right w:val="none" w:sz="0" w:space="0" w:color="auto"/>
                  </w:divBdr>
                </w:div>
                <w:div w:id="560753012">
                  <w:marLeft w:val="0"/>
                  <w:marRight w:val="0"/>
                  <w:marTop w:val="160"/>
                  <w:marBottom w:val="200"/>
                  <w:divBdr>
                    <w:top w:val="none" w:sz="0" w:space="0" w:color="auto"/>
                    <w:left w:val="none" w:sz="0" w:space="0" w:color="auto"/>
                    <w:bottom w:val="none" w:sz="0" w:space="0" w:color="auto"/>
                    <w:right w:val="none" w:sz="0" w:space="0" w:color="auto"/>
                  </w:divBdr>
                </w:div>
                <w:div w:id="659773143">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089161491">
      <w:bodyDiv w:val="1"/>
      <w:marLeft w:val="0"/>
      <w:marRight w:val="0"/>
      <w:marTop w:val="0"/>
      <w:marBottom w:val="0"/>
      <w:divBdr>
        <w:top w:val="none" w:sz="0" w:space="0" w:color="auto"/>
        <w:left w:val="none" w:sz="0" w:space="0" w:color="auto"/>
        <w:bottom w:val="none" w:sz="0" w:space="0" w:color="auto"/>
        <w:right w:val="none" w:sz="0" w:space="0" w:color="auto"/>
      </w:divBdr>
      <w:divsChild>
        <w:div w:id="71514756">
          <w:marLeft w:val="0"/>
          <w:marRight w:val="0"/>
          <w:marTop w:val="0"/>
          <w:marBottom w:val="0"/>
          <w:divBdr>
            <w:top w:val="none" w:sz="0" w:space="0" w:color="auto"/>
            <w:left w:val="none" w:sz="0" w:space="0" w:color="auto"/>
            <w:bottom w:val="none" w:sz="0" w:space="0" w:color="auto"/>
            <w:right w:val="none" w:sz="0" w:space="0" w:color="auto"/>
          </w:divBdr>
        </w:div>
        <w:div w:id="2105148955">
          <w:blockQuote w:val="1"/>
          <w:marLeft w:val="255"/>
          <w:marRight w:val="0"/>
          <w:marTop w:val="0"/>
          <w:marBottom w:val="150"/>
          <w:divBdr>
            <w:top w:val="none" w:sz="0" w:space="0" w:color="auto"/>
            <w:left w:val="none" w:sz="0" w:space="0" w:color="auto"/>
            <w:bottom w:val="none" w:sz="0" w:space="0" w:color="auto"/>
            <w:right w:val="none" w:sz="0" w:space="0" w:color="auto"/>
          </w:divBdr>
          <w:divsChild>
            <w:div w:id="1359038680">
              <w:marLeft w:val="0"/>
              <w:marRight w:val="0"/>
              <w:marTop w:val="0"/>
              <w:marBottom w:val="0"/>
              <w:divBdr>
                <w:top w:val="none" w:sz="0" w:space="0" w:color="auto"/>
                <w:left w:val="none" w:sz="0" w:space="0" w:color="auto"/>
                <w:bottom w:val="none" w:sz="0" w:space="0" w:color="auto"/>
                <w:right w:val="none" w:sz="0" w:space="0" w:color="auto"/>
              </w:divBdr>
              <w:divsChild>
                <w:div w:id="1729649193">
                  <w:marLeft w:val="340"/>
                  <w:marRight w:val="0"/>
                  <w:marTop w:val="160"/>
                  <w:marBottom w:val="200"/>
                  <w:divBdr>
                    <w:top w:val="none" w:sz="0" w:space="0" w:color="auto"/>
                    <w:left w:val="none" w:sz="0" w:space="0" w:color="auto"/>
                    <w:bottom w:val="none" w:sz="0" w:space="0" w:color="auto"/>
                    <w:right w:val="none" w:sz="0" w:space="0" w:color="auto"/>
                  </w:divBdr>
                </w:div>
                <w:div w:id="83507350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801536604">
                      <w:marLeft w:val="0"/>
                      <w:marRight w:val="0"/>
                      <w:marTop w:val="0"/>
                      <w:marBottom w:val="0"/>
                      <w:divBdr>
                        <w:top w:val="none" w:sz="0" w:space="0" w:color="auto"/>
                        <w:left w:val="none" w:sz="0" w:space="0" w:color="auto"/>
                        <w:bottom w:val="none" w:sz="0" w:space="0" w:color="auto"/>
                        <w:right w:val="none" w:sz="0" w:space="0" w:color="auto"/>
                      </w:divBdr>
                      <w:divsChild>
                        <w:div w:id="14077186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3454590">
                      <w:marLeft w:val="0"/>
                      <w:marRight w:val="0"/>
                      <w:marTop w:val="0"/>
                      <w:marBottom w:val="0"/>
                      <w:divBdr>
                        <w:top w:val="none" w:sz="0" w:space="0" w:color="auto"/>
                        <w:left w:val="none" w:sz="0" w:space="0" w:color="auto"/>
                        <w:bottom w:val="none" w:sz="0" w:space="0" w:color="auto"/>
                        <w:right w:val="none" w:sz="0" w:space="0" w:color="auto"/>
                      </w:divBdr>
                      <w:divsChild>
                        <w:div w:id="13754956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58434360">
                      <w:marLeft w:val="0"/>
                      <w:marRight w:val="0"/>
                      <w:marTop w:val="0"/>
                      <w:marBottom w:val="0"/>
                      <w:divBdr>
                        <w:top w:val="none" w:sz="0" w:space="0" w:color="auto"/>
                        <w:left w:val="none" w:sz="0" w:space="0" w:color="auto"/>
                        <w:bottom w:val="none" w:sz="0" w:space="0" w:color="auto"/>
                        <w:right w:val="none" w:sz="0" w:space="0" w:color="auto"/>
                      </w:divBdr>
                      <w:divsChild>
                        <w:div w:id="114716465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99125630">
              <w:marLeft w:val="0"/>
              <w:marRight w:val="0"/>
              <w:marTop w:val="0"/>
              <w:marBottom w:val="0"/>
              <w:divBdr>
                <w:top w:val="none" w:sz="0" w:space="0" w:color="auto"/>
                <w:left w:val="none" w:sz="0" w:space="0" w:color="auto"/>
                <w:bottom w:val="none" w:sz="0" w:space="0" w:color="auto"/>
                <w:right w:val="none" w:sz="0" w:space="0" w:color="auto"/>
              </w:divBdr>
              <w:divsChild>
                <w:div w:id="758722248">
                  <w:marLeft w:val="340"/>
                  <w:marRight w:val="0"/>
                  <w:marTop w:val="160"/>
                  <w:marBottom w:val="200"/>
                  <w:divBdr>
                    <w:top w:val="none" w:sz="0" w:space="0" w:color="auto"/>
                    <w:left w:val="none" w:sz="0" w:space="0" w:color="auto"/>
                    <w:bottom w:val="none" w:sz="0" w:space="0" w:color="auto"/>
                    <w:right w:val="none" w:sz="0" w:space="0" w:color="auto"/>
                  </w:divBdr>
                </w:div>
                <w:div w:id="139442416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220941305">
              <w:marLeft w:val="0"/>
              <w:marRight w:val="0"/>
              <w:marTop w:val="0"/>
              <w:marBottom w:val="0"/>
              <w:divBdr>
                <w:top w:val="none" w:sz="0" w:space="0" w:color="auto"/>
                <w:left w:val="none" w:sz="0" w:space="0" w:color="auto"/>
                <w:bottom w:val="none" w:sz="0" w:space="0" w:color="auto"/>
                <w:right w:val="none" w:sz="0" w:space="0" w:color="auto"/>
              </w:divBdr>
              <w:divsChild>
                <w:div w:id="2034649649">
                  <w:marLeft w:val="340"/>
                  <w:marRight w:val="0"/>
                  <w:marTop w:val="160"/>
                  <w:marBottom w:val="200"/>
                  <w:divBdr>
                    <w:top w:val="none" w:sz="0" w:space="0" w:color="auto"/>
                    <w:left w:val="none" w:sz="0" w:space="0" w:color="auto"/>
                    <w:bottom w:val="none" w:sz="0" w:space="0" w:color="auto"/>
                    <w:right w:val="none" w:sz="0" w:space="0" w:color="auto"/>
                  </w:divBdr>
                </w:div>
                <w:div w:id="119557961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848060083">
              <w:marLeft w:val="0"/>
              <w:marRight w:val="0"/>
              <w:marTop w:val="0"/>
              <w:marBottom w:val="0"/>
              <w:divBdr>
                <w:top w:val="none" w:sz="0" w:space="0" w:color="auto"/>
                <w:left w:val="none" w:sz="0" w:space="0" w:color="auto"/>
                <w:bottom w:val="none" w:sz="0" w:space="0" w:color="auto"/>
                <w:right w:val="none" w:sz="0" w:space="0" w:color="auto"/>
              </w:divBdr>
              <w:divsChild>
                <w:div w:id="3555901">
                  <w:marLeft w:val="340"/>
                  <w:marRight w:val="0"/>
                  <w:marTop w:val="160"/>
                  <w:marBottom w:val="200"/>
                  <w:divBdr>
                    <w:top w:val="none" w:sz="0" w:space="0" w:color="auto"/>
                    <w:left w:val="none" w:sz="0" w:space="0" w:color="auto"/>
                    <w:bottom w:val="none" w:sz="0" w:space="0" w:color="auto"/>
                    <w:right w:val="none" w:sz="0" w:space="0" w:color="auto"/>
                  </w:divBdr>
                </w:div>
                <w:div w:id="69962168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136534402">
      <w:bodyDiv w:val="1"/>
      <w:marLeft w:val="0"/>
      <w:marRight w:val="0"/>
      <w:marTop w:val="0"/>
      <w:marBottom w:val="0"/>
      <w:divBdr>
        <w:top w:val="none" w:sz="0" w:space="0" w:color="auto"/>
        <w:left w:val="none" w:sz="0" w:space="0" w:color="auto"/>
        <w:bottom w:val="none" w:sz="0" w:space="0" w:color="auto"/>
        <w:right w:val="none" w:sz="0" w:space="0" w:color="auto"/>
      </w:divBdr>
      <w:divsChild>
        <w:div w:id="1022901946">
          <w:marLeft w:val="340"/>
          <w:marRight w:val="0"/>
          <w:marTop w:val="160"/>
          <w:marBottom w:val="200"/>
          <w:divBdr>
            <w:top w:val="none" w:sz="0" w:space="0" w:color="auto"/>
            <w:left w:val="none" w:sz="0" w:space="0" w:color="auto"/>
            <w:bottom w:val="none" w:sz="0" w:space="0" w:color="auto"/>
            <w:right w:val="none" w:sz="0" w:space="0" w:color="auto"/>
          </w:divBdr>
        </w:div>
        <w:div w:id="731542848">
          <w:marLeft w:val="0"/>
          <w:marRight w:val="0"/>
          <w:marTop w:val="0"/>
          <w:marBottom w:val="0"/>
          <w:divBdr>
            <w:top w:val="none" w:sz="0" w:space="0" w:color="auto"/>
            <w:left w:val="none" w:sz="0" w:space="0" w:color="auto"/>
            <w:bottom w:val="none" w:sz="0" w:space="0" w:color="auto"/>
            <w:right w:val="none" w:sz="0" w:space="0" w:color="auto"/>
          </w:divBdr>
          <w:divsChild>
            <w:div w:id="195847276">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171985775">
      <w:bodyDiv w:val="1"/>
      <w:marLeft w:val="0"/>
      <w:marRight w:val="0"/>
      <w:marTop w:val="0"/>
      <w:marBottom w:val="0"/>
      <w:divBdr>
        <w:top w:val="none" w:sz="0" w:space="0" w:color="auto"/>
        <w:left w:val="none" w:sz="0" w:space="0" w:color="auto"/>
        <w:bottom w:val="none" w:sz="0" w:space="0" w:color="auto"/>
        <w:right w:val="none" w:sz="0" w:space="0" w:color="auto"/>
      </w:divBdr>
    </w:div>
    <w:div w:id="1201895642">
      <w:bodyDiv w:val="1"/>
      <w:marLeft w:val="0"/>
      <w:marRight w:val="0"/>
      <w:marTop w:val="0"/>
      <w:marBottom w:val="0"/>
      <w:divBdr>
        <w:top w:val="none" w:sz="0" w:space="0" w:color="auto"/>
        <w:left w:val="none" w:sz="0" w:space="0" w:color="auto"/>
        <w:bottom w:val="none" w:sz="0" w:space="0" w:color="auto"/>
        <w:right w:val="none" w:sz="0" w:space="0" w:color="auto"/>
      </w:divBdr>
    </w:div>
    <w:div w:id="1254360944">
      <w:bodyDiv w:val="1"/>
      <w:marLeft w:val="0"/>
      <w:marRight w:val="0"/>
      <w:marTop w:val="0"/>
      <w:marBottom w:val="0"/>
      <w:divBdr>
        <w:top w:val="none" w:sz="0" w:space="0" w:color="auto"/>
        <w:left w:val="none" w:sz="0" w:space="0" w:color="auto"/>
        <w:bottom w:val="none" w:sz="0" w:space="0" w:color="auto"/>
        <w:right w:val="none" w:sz="0" w:space="0" w:color="auto"/>
      </w:divBdr>
    </w:div>
    <w:div w:id="1259870931">
      <w:bodyDiv w:val="1"/>
      <w:marLeft w:val="0"/>
      <w:marRight w:val="0"/>
      <w:marTop w:val="0"/>
      <w:marBottom w:val="0"/>
      <w:divBdr>
        <w:top w:val="none" w:sz="0" w:space="0" w:color="auto"/>
        <w:left w:val="none" w:sz="0" w:space="0" w:color="auto"/>
        <w:bottom w:val="none" w:sz="0" w:space="0" w:color="auto"/>
        <w:right w:val="none" w:sz="0" w:space="0" w:color="auto"/>
      </w:divBdr>
      <w:divsChild>
        <w:div w:id="1252621187">
          <w:marLeft w:val="340"/>
          <w:marRight w:val="0"/>
          <w:marTop w:val="160"/>
          <w:marBottom w:val="200"/>
          <w:divBdr>
            <w:top w:val="none" w:sz="0" w:space="0" w:color="auto"/>
            <w:left w:val="none" w:sz="0" w:space="0" w:color="auto"/>
            <w:bottom w:val="none" w:sz="0" w:space="0" w:color="auto"/>
            <w:right w:val="none" w:sz="0" w:space="0" w:color="auto"/>
          </w:divBdr>
        </w:div>
        <w:div w:id="1133913269">
          <w:marLeft w:val="0"/>
          <w:marRight w:val="0"/>
          <w:marTop w:val="0"/>
          <w:marBottom w:val="0"/>
          <w:divBdr>
            <w:top w:val="none" w:sz="0" w:space="0" w:color="auto"/>
            <w:left w:val="none" w:sz="0" w:space="0" w:color="auto"/>
            <w:bottom w:val="none" w:sz="0" w:space="0" w:color="auto"/>
            <w:right w:val="none" w:sz="0" w:space="0" w:color="auto"/>
          </w:divBdr>
          <w:divsChild>
            <w:div w:id="1874029203">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271472113">
      <w:bodyDiv w:val="1"/>
      <w:marLeft w:val="0"/>
      <w:marRight w:val="0"/>
      <w:marTop w:val="0"/>
      <w:marBottom w:val="0"/>
      <w:divBdr>
        <w:top w:val="none" w:sz="0" w:space="0" w:color="auto"/>
        <w:left w:val="none" w:sz="0" w:space="0" w:color="auto"/>
        <w:bottom w:val="none" w:sz="0" w:space="0" w:color="auto"/>
        <w:right w:val="none" w:sz="0" w:space="0" w:color="auto"/>
      </w:divBdr>
      <w:divsChild>
        <w:div w:id="1601446698">
          <w:marLeft w:val="0"/>
          <w:marRight w:val="0"/>
          <w:marTop w:val="0"/>
          <w:marBottom w:val="0"/>
          <w:divBdr>
            <w:top w:val="none" w:sz="0" w:space="0" w:color="auto"/>
            <w:left w:val="none" w:sz="0" w:space="0" w:color="auto"/>
            <w:bottom w:val="none" w:sz="0" w:space="0" w:color="auto"/>
            <w:right w:val="none" w:sz="0" w:space="0" w:color="auto"/>
          </w:divBdr>
          <w:divsChild>
            <w:div w:id="18605798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22570328">
          <w:marLeft w:val="0"/>
          <w:marRight w:val="0"/>
          <w:marTop w:val="0"/>
          <w:marBottom w:val="0"/>
          <w:divBdr>
            <w:top w:val="none" w:sz="0" w:space="0" w:color="auto"/>
            <w:left w:val="none" w:sz="0" w:space="0" w:color="auto"/>
            <w:bottom w:val="none" w:sz="0" w:space="0" w:color="auto"/>
            <w:right w:val="none" w:sz="0" w:space="0" w:color="auto"/>
          </w:divBdr>
          <w:divsChild>
            <w:div w:id="43039939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03408228">
          <w:marLeft w:val="0"/>
          <w:marRight w:val="0"/>
          <w:marTop w:val="0"/>
          <w:marBottom w:val="0"/>
          <w:divBdr>
            <w:top w:val="none" w:sz="0" w:space="0" w:color="auto"/>
            <w:left w:val="none" w:sz="0" w:space="0" w:color="auto"/>
            <w:bottom w:val="none" w:sz="0" w:space="0" w:color="auto"/>
            <w:right w:val="none" w:sz="0" w:space="0" w:color="auto"/>
          </w:divBdr>
          <w:divsChild>
            <w:div w:id="17084062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83073335">
          <w:marLeft w:val="0"/>
          <w:marRight w:val="0"/>
          <w:marTop w:val="0"/>
          <w:marBottom w:val="0"/>
          <w:divBdr>
            <w:top w:val="none" w:sz="0" w:space="0" w:color="auto"/>
            <w:left w:val="none" w:sz="0" w:space="0" w:color="auto"/>
            <w:bottom w:val="none" w:sz="0" w:space="0" w:color="auto"/>
            <w:right w:val="none" w:sz="0" w:space="0" w:color="auto"/>
          </w:divBdr>
          <w:divsChild>
            <w:div w:id="1145239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01164126">
          <w:marLeft w:val="0"/>
          <w:marRight w:val="0"/>
          <w:marTop w:val="0"/>
          <w:marBottom w:val="0"/>
          <w:divBdr>
            <w:top w:val="none" w:sz="0" w:space="0" w:color="auto"/>
            <w:left w:val="none" w:sz="0" w:space="0" w:color="auto"/>
            <w:bottom w:val="none" w:sz="0" w:space="0" w:color="auto"/>
            <w:right w:val="none" w:sz="0" w:space="0" w:color="auto"/>
          </w:divBdr>
          <w:divsChild>
            <w:div w:id="111509940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46935037">
          <w:marLeft w:val="0"/>
          <w:marRight w:val="0"/>
          <w:marTop w:val="0"/>
          <w:marBottom w:val="0"/>
          <w:divBdr>
            <w:top w:val="none" w:sz="0" w:space="0" w:color="auto"/>
            <w:left w:val="none" w:sz="0" w:space="0" w:color="auto"/>
            <w:bottom w:val="none" w:sz="0" w:space="0" w:color="auto"/>
            <w:right w:val="none" w:sz="0" w:space="0" w:color="auto"/>
          </w:divBdr>
          <w:divsChild>
            <w:div w:id="95239644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57980269">
          <w:marLeft w:val="0"/>
          <w:marRight w:val="0"/>
          <w:marTop w:val="0"/>
          <w:marBottom w:val="0"/>
          <w:divBdr>
            <w:top w:val="none" w:sz="0" w:space="0" w:color="auto"/>
            <w:left w:val="none" w:sz="0" w:space="0" w:color="auto"/>
            <w:bottom w:val="none" w:sz="0" w:space="0" w:color="auto"/>
            <w:right w:val="none" w:sz="0" w:space="0" w:color="auto"/>
          </w:divBdr>
          <w:divsChild>
            <w:div w:id="70872742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00785805">
          <w:marLeft w:val="0"/>
          <w:marRight w:val="0"/>
          <w:marTop w:val="0"/>
          <w:marBottom w:val="0"/>
          <w:divBdr>
            <w:top w:val="none" w:sz="0" w:space="0" w:color="auto"/>
            <w:left w:val="none" w:sz="0" w:space="0" w:color="auto"/>
            <w:bottom w:val="none" w:sz="0" w:space="0" w:color="auto"/>
            <w:right w:val="none" w:sz="0" w:space="0" w:color="auto"/>
          </w:divBdr>
          <w:divsChild>
            <w:div w:id="1505166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26409973">
          <w:marLeft w:val="0"/>
          <w:marRight w:val="0"/>
          <w:marTop w:val="0"/>
          <w:marBottom w:val="0"/>
          <w:divBdr>
            <w:top w:val="none" w:sz="0" w:space="0" w:color="auto"/>
            <w:left w:val="none" w:sz="0" w:space="0" w:color="auto"/>
            <w:bottom w:val="none" w:sz="0" w:space="0" w:color="auto"/>
            <w:right w:val="none" w:sz="0" w:space="0" w:color="auto"/>
          </w:divBdr>
          <w:divsChild>
            <w:div w:id="198654781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9693775">
          <w:marLeft w:val="0"/>
          <w:marRight w:val="0"/>
          <w:marTop w:val="0"/>
          <w:marBottom w:val="0"/>
          <w:divBdr>
            <w:top w:val="none" w:sz="0" w:space="0" w:color="auto"/>
            <w:left w:val="none" w:sz="0" w:space="0" w:color="auto"/>
            <w:bottom w:val="none" w:sz="0" w:space="0" w:color="auto"/>
            <w:right w:val="none" w:sz="0" w:space="0" w:color="auto"/>
          </w:divBdr>
          <w:divsChild>
            <w:div w:id="72498882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81655570">
      <w:bodyDiv w:val="1"/>
      <w:marLeft w:val="0"/>
      <w:marRight w:val="0"/>
      <w:marTop w:val="0"/>
      <w:marBottom w:val="0"/>
      <w:divBdr>
        <w:top w:val="none" w:sz="0" w:space="0" w:color="auto"/>
        <w:left w:val="none" w:sz="0" w:space="0" w:color="auto"/>
        <w:bottom w:val="none" w:sz="0" w:space="0" w:color="auto"/>
        <w:right w:val="none" w:sz="0" w:space="0" w:color="auto"/>
      </w:divBdr>
      <w:divsChild>
        <w:div w:id="442959552">
          <w:marLeft w:val="340"/>
          <w:marRight w:val="0"/>
          <w:marTop w:val="160"/>
          <w:marBottom w:val="200"/>
          <w:divBdr>
            <w:top w:val="none" w:sz="0" w:space="0" w:color="auto"/>
            <w:left w:val="none" w:sz="0" w:space="0" w:color="auto"/>
            <w:bottom w:val="none" w:sz="0" w:space="0" w:color="auto"/>
            <w:right w:val="none" w:sz="0" w:space="0" w:color="auto"/>
          </w:divBdr>
        </w:div>
        <w:div w:id="145116925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793276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54868871">
      <w:bodyDiv w:val="1"/>
      <w:marLeft w:val="0"/>
      <w:marRight w:val="0"/>
      <w:marTop w:val="0"/>
      <w:marBottom w:val="0"/>
      <w:divBdr>
        <w:top w:val="none" w:sz="0" w:space="0" w:color="auto"/>
        <w:left w:val="none" w:sz="0" w:space="0" w:color="auto"/>
        <w:bottom w:val="none" w:sz="0" w:space="0" w:color="auto"/>
        <w:right w:val="none" w:sz="0" w:space="0" w:color="auto"/>
      </w:divBdr>
      <w:divsChild>
        <w:div w:id="2137720862">
          <w:marLeft w:val="340"/>
          <w:marRight w:val="0"/>
          <w:marTop w:val="160"/>
          <w:marBottom w:val="200"/>
          <w:divBdr>
            <w:top w:val="none" w:sz="0" w:space="0" w:color="auto"/>
            <w:left w:val="none" w:sz="0" w:space="0" w:color="auto"/>
            <w:bottom w:val="none" w:sz="0" w:space="0" w:color="auto"/>
            <w:right w:val="none" w:sz="0" w:space="0" w:color="auto"/>
          </w:divBdr>
        </w:div>
        <w:div w:id="35805186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092509379">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949002097">
                  <w:marLeft w:val="0"/>
                  <w:marRight w:val="0"/>
                  <w:marTop w:val="0"/>
                  <w:marBottom w:val="0"/>
                  <w:divBdr>
                    <w:top w:val="none" w:sz="0" w:space="0" w:color="auto"/>
                    <w:left w:val="none" w:sz="0" w:space="0" w:color="auto"/>
                    <w:bottom w:val="none" w:sz="0" w:space="0" w:color="auto"/>
                    <w:right w:val="none" w:sz="0" w:space="0" w:color="auto"/>
                  </w:divBdr>
                  <w:divsChild>
                    <w:div w:id="1604990530">
                      <w:marLeft w:val="0"/>
                      <w:marRight w:val="0"/>
                      <w:marTop w:val="160"/>
                      <w:marBottom w:val="200"/>
                      <w:divBdr>
                        <w:top w:val="none" w:sz="0" w:space="0" w:color="auto"/>
                        <w:left w:val="none" w:sz="0" w:space="0" w:color="auto"/>
                        <w:bottom w:val="none" w:sz="0" w:space="0" w:color="auto"/>
                        <w:right w:val="none" w:sz="0" w:space="0" w:color="auto"/>
                      </w:divBdr>
                    </w:div>
                    <w:div w:id="682511492">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 w:id="239339322">
              <w:blockQuote w:val="1"/>
              <w:marLeft w:val="400"/>
              <w:marRight w:val="0"/>
              <w:marTop w:val="160"/>
              <w:marBottom w:val="200"/>
              <w:divBdr>
                <w:top w:val="none" w:sz="0" w:space="0" w:color="auto"/>
                <w:left w:val="none" w:sz="0" w:space="0" w:color="auto"/>
                <w:bottom w:val="none" w:sz="0" w:space="0" w:color="auto"/>
                <w:right w:val="none" w:sz="0" w:space="0" w:color="auto"/>
              </w:divBdr>
            </w:div>
            <w:div w:id="1387870616">
              <w:blockQuote w:val="1"/>
              <w:marLeft w:val="400"/>
              <w:marRight w:val="0"/>
              <w:marTop w:val="160"/>
              <w:marBottom w:val="200"/>
              <w:divBdr>
                <w:top w:val="none" w:sz="0" w:space="0" w:color="auto"/>
                <w:left w:val="none" w:sz="0" w:space="0" w:color="auto"/>
                <w:bottom w:val="none" w:sz="0" w:space="0" w:color="auto"/>
                <w:right w:val="none" w:sz="0" w:space="0" w:color="auto"/>
              </w:divBdr>
            </w:div>
            <w:div w:id="377971766">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193302727">
                  <w:marLeft w:val="0"/>
                  <w:marRight w:val="0"/>
                  <w:marTop w:val="0"/>
                  <w:marBottom w:val="0"/>
                  <w:divBdr>
                    <w:top w:val="none" w:sz="0" w:space="0" w:color="auto"/>
                    <w:left w:val="none" w:sz="0" w:space="0" w:color="auto"/>
                    <w:bottom w:val="none" w:sz="0" w:space="0" w:color="auto"/>
                    <w:right w:val="none" w:sz="0" w:space="0" w:color="auto"/>
                  </w:divBdr>
                  <w:divsChild>
                    <w:div w:id="61802707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5289627">
                  <w:marLeft w:val="0"/>
                  <w:marRight w:val="0"/>
                  <w:marTop w:val="0"/>
                  <w:marBottom w:val="0"/>
                  <w:divBdr>
                    <w:top w:val="none" w:sz="0" w:space="0" w:color="auto"/>
                    <w:left w:val="none" w:sz="0" w:space="0" w:color="auto"/>
                    <w:bottom w:val="none" w:sz="0" w:space="0" w:color="auto"/>
                    <w:right w:val="none" w:sz="0" w:space="0" w:color="auto"/>
                  </w:divBdr>
                  <w:divsChild>
                    <w:div w:id="4069235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985159050">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552737967">
                  <w:marLeft w:val="0"/>
                  <w:marRight w:val="0"/>
                  <w:marTop w:val="0"/>
                  <w:marBottom w:val="0"/>
                  <w:divBdr>
                    <w:top w:val="none" w:sz="0" w:space="0" w:color="auto"/>
                    <w:left w:val="none" w:sz="0" w:space="0" w:color="auto"/>
                    <w:bottom w:val="none" w:sz="0" w:space="0" w:color="auto"/>
                    <w:right w:val="none" w:sz="0" w:space="0" w:color="auto"/>
                  </w:divBdr>
                  <w:divsChild>
                    <w:div w:id="24723225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45984415">
                  <w:marLeft w:val="0"/>
                  <w:marRight w:val="0"/>
                  <w:marTop w:val="0"/>
                  <w:marBottom w:val="0"/>
                  <w:divBdr>
                    <w:top w:val="none" w:sz="0" w:space="0" w:color="auto"/>
                    <w:left w:val="none" w:sz="0" w:space="0" w:color="auto"/>
                    <w:bottom w:val="none" w:sz="0" w:space="0" w:color="auto"/>
                    <w:right w:val="none" w:sz="0" w:space="0" w:color="auto"/>
                  </w:divBdr>
                  <w:divsChild>
                    <w:div w:id="173763101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97786733">
                  <w:marLeft w:val="0"/>
                  <w:marRight w:val="0"/>
                  <w:marTop w:val="0"/>
                  <w:marBottom w:val="0"/>
                  <w:divBdr>
                    <w:top w:val="none" w:sz="0" w:space="0" w:color="auto"/>
                    <w:left w:val="none" w:sz="0" w:space="0" w:color="auto"/>
                    <w:bottom w:val="none" w:sz="0" w:space="0" w:color="auto"/>
                    <w:right w:val="none" w:sz="0" w:space="0" w:color="auto"/>
                  </w:divBdr>
                  <w:divsChild>
                    <w:div w:id="18747264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91237876">
                  <w:marLeft w:val="0"/>
                  <w:marRight w:val="0"/>
                  <w:marTop w:val="0"/>
                  <w:marBottom w:val="0"/>
                  <w:divBdr>
                    <w:top w:val="none" w:sz="0" w:space="0" w:color="auto"/>
                    <w:left w:val="none" w:sz="0" w:space="0" w:color="auto"/>
                    <w:bottom w:val="none" w:sz="0" w:space="0" w:color="auto"/>
                    <w:right w:val="none" w:sz="0" w:space="0" w:color="auto"/>
                  </w:divBdr>
                  <w:divsChild>
                    <w:div w:id="286591117">
                      <w:marLeft w:val="0"/>
                      <w:marRight w:val="0"/>
                      <w:marTop w:val="160"/>
                      <w:marBottom w:val="200"/>
                      <w:divBdr>
                        <w:top w:val="none" w:sz="0" w:space="0" w:color="auto"/>
                        <w:left w:val="none" w:sz="0" w:space="0" w:color="auto"/>
                        <w:bottom w:val="none" w:sz="0" w:space="0" w:color="auto"/>
                        <w:right w:val="none" w:sz="0" w:space="0" w:color="auto"/>
                      </w:divBdr>
                    </w:div>
                    <w:div w:id="112360772">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855269934">
      <w:bodyDiv w:val="1"/>
      <w:marLeft w:val="0"/>
      <w:marRight w:val="0"/>
      <w:marTop w:val="0"/>
      <w:marBottom w:val="0"/>
      <w:divBdr>
        <w:top w:val="none" w:sz="0" w:space="0" w:color="auto"/>
        <w:left w:val="none" w:sz="0" w:space="0" w:color="auto"/>
        <w:bottom w:val="none" w:sz="0" w:space="0" w:color="auto"/>
        <w:right w:val="none" w:sz="0" w:space="0" w:color="auto"/>
      </w:divBdr>
    </w:div>
    <w:div w:id="2000839507">
      <w:bodyDiv w:val="1"/>
      <w:marLeft w:val="0"/>
      <w:marRight w:val="0"/>
      <w:marTop w:val="0"/>
      <w:marBottom w:val="0"/>
      <w:divBdr>
        <w:top w:val="none" w:sz="0" w:space="0" w:color="auto"/>
        <w:left w:val="none" w:sz="0" w:space="0" w:color="auto"/>
        <w:bottom w:val="none" w:sz="0" w:space="0" w:color="auto"/>
        <w:right w:val="none" w:sz="0" w:space="0" w:color="auto"/>
      </w:divBdr>
      <w:divsChild>
        <w:div w:id="170918871">
          <w:marLeft w:val="0"/>
          <w:marRight w:val="0"/>
          <w:marTop w:val="0"/>
          <w:marBottom w:val="0"/>
          <w:divBdr>
            <w:top w:val="none" w:sz="0" w:space="0" w:color="auto"/>
            <w:left w:val="none" w:sz="0" w:space="0" w:color="auto"/>
            <w:bottom w:val="none" w:sz="0" w:space="0" w:color="auto"/>
            <w:right w:val="none" w:sz="0" w:space="0" w:color="auto"/>
          </w:divBdr>
          <w:divsChild>
            <w:div w:id="18757331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51059851">
          <w:marLeft w:val="0"/>
          <w:marRight w:val="0"/>
          <w:marTop w:val="0"/>
          <w:marBottom w:val="0"/>
          <w:divBdr>
            <w:top w:val="none" w:sz="0" w:space="0" w:color="auto"/>
            <w:left w:val="none" w:sz="0" w:space="0" w:color="auto"/>
            <w:bottom w:val="none" w:sz="0" w:space="0" w:color="auto"/>
            <w:right w:val="none" w:sz="0" w:space="0" w:color="auto"/>
          </w:divBdr>
          <w:divsChild>
            <w:div w:id="118871551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79830739">
          <w:marLeft w:val="0"/>
          <w:marRight w:val="0"/>
          <w:marTop w:val="0"/>
          <w:marBottom w:val="0"/>
          <w:divBdr>
            <w:top w:val="none" w:sz="0" w:space="0" w:color="auto"/>
            <w:left w:val="none" w:sz="0" w:space="0" w:color="auto"/>
            <w:bottom w:val="none" w:sz="0" w:space="0" w:color="auto"/>
            <w:right w:val="none" w:sz="0" w:space="0" w:color="auto"/>
          </w:divBdr>
          <w:divsChild>
            <w:div w:id="104748406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7077516">
          <w:marLeft w:val="0"/>
          <w:marRight w:val="0"/>
          <w:marTop w:val="0"/>
          <w:marBottom w:val="0"/>
          <w:divBdr>
            <w:top w:val="none" w:sz="0" w:space="0" w:color="auto"/>
            <w:left w:val="none" w:sz="0" w:space="0" w:color="auto"/>
            <w:bottom w:val="none" w:sz="0" w:space="0" w:color="auto"/>
            <w:right w:val="none" w:sz="0" w:space="0" w:color="auto"/>
          </w:divBdr>
          <w:divsChild>
            <w:div w:id="6342130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4382930">
          <w:marLeft w:val="0"/>
          <w:marRight w:val="0"/>
          <w:marTop w:val="0"/>
          <w:marBottom w:val="0"/>
          <w:divBdr>
            <w:top w:val="none" w:sz="0" w:space="0" w:color="auto"/>
            <w:left w:val="none" w:sz="0" w:space="0" w:color="auto"/>
            <w:bottom w:val="none" w:sz="0" w:space="0" w:color="auto"/>
            <w:right w:val="none" w:sz="0" w:space="0" w:color="auto"/>
          </w:divBdr>
          <w:divsChild>
            <w:div w:id="16902852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41204497">
      <w:bodyDiv w:val="1"/>
      <w:marLeft w:val="0"/>
      <w:marRight w:val="0"/>
      <w:marTop w:val="0"/>
      <w:marBottom w:val="0"/>
      <w:divBdr>
        <w:top w:val="none" w:sz="0" w:space="0" w:color="auto"/>
        <w:left w:val="none" w:sz="0" w:space="0" w:color="auto"/>
        <w:bottom w:val="none" w:sz="0" w:space="0" w:color="auto"/>
        <w:right w:val="none" w:sz="0" w:space="0" w:color="auto"/>
      </w:divBdr>
    </w:div>
    <w:div w:id="2130588614">
      <w:bodyDiv w:val="1"/>
      <w:marLeft w:val="0"/>
      <w:marRight w:val="0"/>
      <w:marTop w:val="0"/>
      <w:marBottom w:val="0"/>
      <w:divBdr>
        <w:top w:val="none" w:sz="0" w:space="0" w:color="auto"/>
        <w:left w:val="none" w:sz="0" w:space="0" w:color="auto"/>
        <w:bottom w:val="none" w:sz="0" w:space="0" w:color="auto"/>
        <w:right w:val="none" w:sz="0" w:space="0" w:color="auto"/>
      </w:divBdr>
      <w:divsChild>
        <w:div w:id="1288125713">
          <w:marLeft w:val="340"/>
          <w:marRight w:val="0"/>
          <w:marTop w:val="160"/>
          <w:marBottom w:val="200"/>
          <w:divBdr>
            <w:top w:val="none" w:sz="0" w:space="0" w:color="auto"/>
            <w:left w:val="none" w:sz="0" w:space="0" w:color="auto"/>
            <w:bottom w:val="none" w:sz="0" w:space="0" w:color="auto"/>
            <w:right w:val="none" w:sz="0" w:space="0" w:color="auto"/>
          </w:divBdr>
        </w:div>
        <w:div w:id="110337661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618830975">
              <w:marLeft w:val="0"/>
              <w:marRight w:val="0"/>
              <w:marTop w:val="0"/>
              <w:marBottom w:val="0"/>
              <w:divBdr>
                <w:top w:val="none" w:sz="0" w:space="0" w:color="auto"/>
                <w:left w:val="none" w:sz="0" w:space="0" w:color="auto"/>
                <w:bottom w:val="none" w:sz="0" w:space="0" w:color="auto"/>
                <w:right w:val="none" w:sz="0" w:space="0" w:color="auto"/>
              </w:divBdr>
              <w:divsChild>
                <w:div w:id="1410617249">
                  <w:marLeft w:val="0"/>
                  <w:marRight w:val="0"/>
                  <w:marTop w:val="160"/>
                  <w:marBottom w:val="200"/>
                  <w:divBdr>
                    <w:top w:val="none" w:sz="0" w:space="0" w:color="auto"/>
                    <w:left w:val="none" w:sz="0" w:space="0" w:color="auto"/>
                    <w:bottom w:val="none" w:sz="0" w:space="0" w:color="auto"/>
                    <w:right w:val="none" w:sz="0" w:space="0" w:color="auto"/>
                  </w:divBdr>
                </w:div>
                <w:div w:id="1814519647">
                  <w:marLeft w:val="0"/>
                  <w:marRight w:val="0"/>
                  <w:marTop w:val="160"/>
                  <w:marBottom w:val="200"/>
                  <w:divBdr>
                    <w:top w:val="none" w:sz="0" w:space="0" w:color="auto"/>
                    <w:left w:val="none" w:sz="0" w:space="0" w:color="auto"/>
                    <w:bottom w:val="none" w:sz="0" w:space="0" w:color="auto"/>
                    <w:right w:val="none" w:sz="0" w:space="0" w:color="auto"/>
                  </w:divBdr>
                </w:div>
              </w:divsChild>
            </w:div>
            <w:div w:id="461195258">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661928449">
                  <w:marLeft w:val="0"/>
                  <w:marRight w:val="0"/>
                  <w:marTop w:val="0"/>
                  <w:marBottom w:val="0"/>
                  <w:divBdr>
                    <w:top w:val="none" w:sz="0" w:space="0" w:color="auto"/>
                    <w:left w:val="none" w:sz="0" w:space="0" w:color="auto"/>
                    <w:bottom w:val="none" w:sz="0" w:space="0" w:color="auto"/>
                    <w:right w:val="none" w:sz="0" w:space="0" w:color="auto"/>
                  </w:divBdr>
                  <w:divsChild>
                    <w:div w:id="73952035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79308132">
                  <w:marLeft w:val="0"/>
                  <w:marRight w:val="0"/>
                  <w:marTop w:val="0"/>
                  <w:marBottom w:val="0"/>
                  <w:divBdr>
                    <w:top w:val="none" w:sz="0" w:space="0" w:color="auto"/>
                    <w:left w:val="none" w:sz="0" w:space="0" w:color="auto"/>
                    <w:bottom w:val="none" w:sz="0" w:space="0" w:color="auto"/>
                    <w:right w:val="none" w:sz="0" w:space="0" w:color="auto"/>
                  </w:divBdr>
                  <w:divsChild>
                    <w:div w:id="155801185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57598729">
                  <w:marLeft w:val="0"/>
                  <w:marRight w:val="0"/>
                  <w:marTop w:val="0"/>
                  <w:marBottom w:val="0"/>
                  <w:divBdr>
                    <w:top w:val="none" w:sz="0" w:space="0" w:color="auto"/>
                    <w:left w:val="none" w:sz="0" w:space="0" w:color="auto"/>
                    <w:bottom w:val="none" w:sz="0" w:space="0" w:color="auto"/>
                    <w:right w:val="none" w:sz="0" w:space="0" w:color="auto"/>
                  </w:divBdr>
                  <w:divsChild>
                    <w:div w:id="24781390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2817017">
                  <w:marLeft w:val="0"/>
                  <w:marRight w:val="0"/>
                  <w:marTop w:val="0"/>
                  <w:marBottom w:val="0"/>
                  <w:divBdr>
                    <w:top w:val="none" w:sz="0" w:space="0" w:color="auto"/>
                    <w:left w:val="none" w:sz="0" w:space="0" w:color="auto"/>
                    <w:bottom w:val="none" w:sz="0" w:space="0" w:color="auto"/>
                    <w:right w:val="none" w:sz="0" w:space="0" w:color="auto"/>
                  </w:divBdr>
                  <w:divsChild>
                    <w:div w:id="74180297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83068045">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50873887">
                  <w:marLeft w:val="0"/>
                  <w:marRight w:val="0"/>
                  <w:marTop w:val="0"/>
                  <w:marBottom w:val="0"/>
                  <w:divBdr>
                    <w:top w:val="none" w:sz="0" w:space="0" w:color="auto"/>
                    <w:left w:val="none" w:sz="0" w:space="0" w:color="auto"/>
                    <w:bottom w:val="none" w:sz="0" w:space="0" w:color="auto"/>
                    <w:right w:val="none" w:sz="0" w:space="0" w:color="auto"/>
                  </w:divBdr>
                  <w:divsChild>
                    <w:div w:id="183730340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905601155">
                          <w:marLeft w:val="0"/>
                          <w:marRight w:val="0"/>
                          <w:marTop w:val="0"/>
                          <w:marBottom w:val="0"/>
                          <w:divBdr>
                            <w:top w:val="none" w:sz="0" w:space="0" w:color="auto"/>
                            <w:left w:val="none" w:sz="0" w:space="0" w:color="auto"/>
                            <w:bottom w:val="none" w:sz="0" w:space="0" w:color="auto"/>
                            <w:right w:val="none" w:sz="0" w:space="0" w:color="auto"/>
                          </w:divBdr>
                          <w:divsChild>
                            <w:div w:id="188995622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87106872">
                          <w:marLeft w:val="0"/>
                          <w:marRight w:val="0"/>
                          <w:marTop w:val="0"/>
                          <w:marBottom w:val="0"/>
                          <w:divBdr>
                            <w:top w:val="none" w:sz="0" w:space="0" w:color="auto"/>
                            <w:left w:val="none" w:sz="0" w:space="0" w:color="auto"/>
                            <w:bottom w:val="none" w:sz="0" w:space="0" w:color="auto"/>
                            <w:right w:val="none" w:sz="0" w:space="0" w:color="auto"/>
                          </w:divBdr>
                          <w:divsChild>
                            <w:div w:id="1738110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20234535">
                          <w:marLeft w:val="0"/>
                          <w:marRight w:val="0"/>
                          <w:marTop w:val="0"/>
                          <w:marBottom w:val="0"/>
                          <w:divBdr>
                            <w:top w:val="none" w:sz="0" w:space="0" w:color="auto"/>
                            <w:left w:val="none" w:sz="0" w:space="0" w:color="auto"/>
                            <w:bottom w:val="none" w:sz="0" w:space="0" w:color="auto"/>
                            <w:right w:val="none" w:sz="0" w:space="0" w:color="auto"/>
                          </w:divBdr>
                          <w:divsChild>
                            <w:div w:id="169780787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627466498">
                  <w:marLeft w:val="0"/>
                  <w:marRight w:val="0"/>
                  <w:marTop w:val="0"/>
                  <w:marBottom w:val="0"/>
                  <w:divBdr>
                    <w:top w:val="none" w:sz="0" w:space="0" w:color="auto"/>
                    <w:left w:val="none" w:sz="0" w:space="0" w:color="auto"/>
                    <w:bottom w:val="none" w:sz="0" w:space="0" w:color="auto"/>
                    <w:right w:val="none" w:sz="0" w:space="0" w:color="auto"/>
                  </w:divBdr>
                  <w:divsChild>
                    <w:div w:id="183553609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03057523">
                  <w:marLeft w:val="0"/>
                  <w:marRight w:val="0"/>
                  <w:marTop w:val="0"/>
                  <w:marBottom w:val="0"/>
                  <w:divBdr>
                    <w:top w:val="none" w:sz="0" w:space="0" w:color="auto"/>
                    <w:left w:val="none" w:sz="0" w:space="0" w:color="auto"/>
                    <w:bottom w:val="none" w:sz="0" w:space="0" w:color="auto"/>
                    <w:right w:val="none" w:sz="0" w:space="0" w:color="auto"/>
                  </w:divBdr>
                  <w:divsChild>
                    <w:div w:id="1353205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69834852">
                  <w:marLeft w:val="0"/>
                  <w:marRight w:val="0"/>
                  <w:marTop w:val="0"/>
                  <w:marBottom w:val="0"/>
                  <w:divBdr>
                    <w:top w:val="none" w:sz="0" w:space="0" w:color="auto"/>
                    <w:left w:val="none" w:sz="0" w:space="0" w:color="auto"/>
                    <w:bottom w:val="none" w:sz="0" w:space="0" w:color="auto"/>
                    <w:right w:val="none" w:sz="0" w:space="0" w:color="auto"/>
                  </w:divBdr>
                  <w:divsChild>
                    <w:div w:id="28412398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7292330">
                  <w:marLeft w:val="0"/>
                  <w:marRight w:val="0"/>
                  <w:marTop w:val="0"/>
                  <w:marBottom w:val="0"/>
                  <w:divBdr>
                    <w:top w:val="none" w:sz="0" w:space="0" w:color="auto"/>
                    <w:left w:val="none" w:sz="0" w:space="0" w:color="auto"/>
                    <w:bottom w:val="none" w:sz="0" w:space="0" w:color="auto"/>
                    <w:right w:val="none" w:sz="0" w:space="0" w:color="auto"/>
                  </w:divBdr>
                  <w:divsChild>
                    <w:div w:id="128214917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143234613">
                          <w:marLeft w:val="0"/>
                          <w:marRight w:val="0"/>
                          <w:marTop w:val="0"/>
                          <w:marBottom w:val="0"/>
                          <w:divBdr>
                            <w:top w:val="none" w:sz="0" w:space="0" w:color="auto"/>
                            <w:left w:val="none" w:sz="0" w:space="0" w:color="auto"/>
                            <w:bottom w:val="none" w:sz="0" w:space="0" w:color="auto"/>
                            <w:right w:val="none" w:sz="0" w:space="0" w:color="auto"/>
                          </w:divBdr>
                          <w:divsChild>
                            <w:div w:id="32886714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7305413">
                          <w:marLeft w:val="0"/>
                          <w:marRight w:val="0"/>
                          <w:marTop w:val="0"/>
                          <w:marBottom w:val="0"/>
                          <w:divBdr>
                            <w:top w:val="none" w:sz="0" w:space="0" w:color="auto"/>
                            <w:left w:val="none" w:sz="0" w:space="0" w:color="auto"/>
                            <w:bottom w:val="none" w:sz="0" w:space="0" w:color="auto"/>
                            <w:right w:val="none" w:sz="0" w:space="0" w:color="auto"/>
                          </w:divBdr>
                          <w:divsChild>
                            <w:div w:id="7066537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621062485">
                  <w:marLeft w:val="0"/>
                  <w:marRight w:val="0"/>
                  <w:marTop w:val="0"/>
                  <w:marBottom w:val="0"/>
                  <w:divBdr>
                    <w:top w:val="none" w:sz="0" w:space="0" w:color="auto"/>
                    <w:left w:val="none" w:sz="0" w:space="0" w:color="auto"/>
                    <w:bottom w:val="none" w:sz="0" w:space="0" w:color="auto"/>
                    <w:right w:val="none" w:sz="0" w:space="0" w:color="auto"/>
                  </w:divBdr>
                  <w:divsChild>
                    <w:div w:id="201583783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26109694">
                          <w:marLeft w:val="0"/>
                          <w:marRight w:val="0"/>
                          <w:marTop w:val="0"/>
                          <w:marBottom w:val="0"/>
                          <w:divBdr>
                            <w:top w:val="none" w:sz="0" w:space="0" w:color="auto"/>
                            <w:left w:val="none" w:sz="0" w:space="0" w:color="auto"/>
                            <w:bottom w:val="none" w:sz="0" w:space="0" w:color="auto"/>
                            <w:right w:val="none" w:sz="0" w:space="0" w:color="auto"/>
                          </w:divBdr>
                          <w:divsChild>
                            <w:div w:id="148131064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10093378">
                          <w:marLeft w:val="0"/>
                          <w:marRight w:val="0"/>
                          <w:marTop w:val="0"/>
                          <w:marBottom w:val="0"/>
                          <w:divBdr>
                            <w:top w:val="none" w:sz="0" w:space="0" w:color="auto"/>
                            <w:left w:val="none" w:sz="0" w:space="0" w:color="auto"/>
                            <w:bottom w:val="none" w:sz="0" w:space="0" w:color="auto"/>
                            <w:right w:val="none" w:sz="0" w:space="0" w:color="auto"/>
                          </w:divBdr>
                          <w:divsChild>
                            <w:div w:id="4827436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47356526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06755449">
                  <w:marLeft w:val="0"/>
                  <w:marRight w:val="0"/>
                  <w:marTop w:val="0"/>
                  <w:marBottom w:val="0"/>
                  <w:divBdr>
                    <w:top w:val="none" w:sz="0" w:space="0" w:color="auto"/>
                    <w:left w:val="none" w:sz="0" w:space="0" w:color="auto"/>
                    <w:bottom w:val="none" w:sz="0" w:space="0" w:color="auto"/>
                    <w:right w:val="none" w:sz="0" w:space="0" w:color="auto"/>
                  </w:divBdr>
                  <w:divsChild>
                    <w:div w:id="40516430">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103405855">
                          <w:marLeft w:val="0"/>
                          <w:marRight w:val="0"/>
                          <w:marTop w:val="0"/>
                          <w:marBottom w:val="0"/>
                          <w:divBdr>
                            <w:top w:val="none" w:sz="0" w:space="0" w:color="auto"/>
                            <w:left w:val="none" w:sz="0" w:space="0" w:color="auto"/>
                            <w:bottom w:val="none" w:sz="0" w:space="0" w:color="auto"/>
                            <w:right w:val="none" w:sz="0" w:space="0" w:color="auto"/>
                          </w:divBdr>
                          <w:divsChild>
                            <w:div w:id="1584244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60758770">
                          <w:marLeft w:val="0"/>
                          <w:marRight w:val="0"/>
                          <w:marTop w:val="0"/>
                          <w:marBottom w:val="0"/>
                          <w:divBdr>
                            <w:top w:val="none" w:sz="0" w:space="0" w:color="auto"/>
                            <w:left w:val="none" w:sz="0" w:space="0" w:color="auto"/>
                            <w:bottom w:val="none" w:sz="0" w:space="0" w:color="auto"/>
                            <w:right w:val="none" w:sz="0" w:space="0" w:color="auto"/>
                          </w:divBdr>
                          <w:divsChild>
                            <w:div w:id="196072118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513350246">
                  <w:marLeft w:val="0"/>
                  <w:marRight w:val="0"/>
                  <w:marTop w:val="0"/>
                  <w:marBottom w:val="0"/>
                  <w:divBdr>
                    <w:top w:val="none" w:sz="0" w:space="0" w:color="auto"/>
                    <w:left w:val="none" w:sz="0" w:space="0" w:color="auto"/>
                    <w:bottom w:val="none" w:sz="0" w:space="0" w:color="auto"/>
                    <w:right w:val="none" w:sz="0" w:space="0" w:color="auto"/>
                  </w:divBdr>
                  <w:divsChild>
                    <w:div w:id="2004161508">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580718917">
                          <w:marLeft w:val="0"/>
                          <w:marRight w:val="0"/>
                          <w:marTop w:val="0"/>
                          <w:marBottom w:val="0"/>
                          <w:divBdr>
                            <w:top w:val="none" w:sz="0" w:space="0" w:color="auto"/>
                            <w:left w:val="none" w:sz="0" w:space="0" w:color="auto"/>
                            <w:bottom w:val="none" w:sz="0" w:space="0" w:color="auto"/>
                            <w:right w:val="none" w:sz="0" w:space="0" w:color="auto"/>
                          </w:divBdr>
                          <w:divsChild>
                            <w:div w:id="52953164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89982307">
                          <w:marLeft w:val="0"/>
                          <w:marRight w:val="0"/>
                          <w:marTop w:val="0"/>
                          <w:marBottom w:val="0"/>
                          <w:divBdr>
                            <w:top w:val="none" w:sz="0" w:space="0" w:color="auto"/>
                            <w:left w:val="none" w:sz="0" w:space="0" w:color="auto"/>
                            <w:bottom w:val="none" w:sz="0" w:space="0" w:color="auto"/>
                            <w:right w:val="none" w:sz="0" w:space="0" w:color="auto"/>
                          </w:divBdr>
                          <w:divsChild>
                            <w:div w:id="9267822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97339822">
                  <w:marLeft w:val="0"/>
                  <w:marRight w:val="0"/>
                  <w:marTop w:val="0"/>
                  <w:marBottom w:val="0"/>
                  <w:divBdr>
                    <w:top w:val="none" w:sz="0" w:space="0" w:color="auto"/>
                    <w:left w:val="none" w:sz="0" w:space="0" w:color="auto"/>
                    <w:bottom w:val="none" w:sz="0" w:space="0" w:color="auto"/>
                    <w:right w:val="none" w:sz="0" w:space="0" w:color="auto"/>
                  </w:divBdr>
                  <w:divsChild>
                    <w:div w:id="10473358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4890558">
                  <w:marLeft w:val="0"/>
                  <w:marRight w:val="0"/>
                  <w:marTop w:val="0"/>
                  <w:marBottom w:val="0"/>
                  <w:divBdr>
                    <w:top w:val="none" w:sz="0" w:space="0" w:color="auto"/>
                    <w:left w:val="none" w:sz="0" w:space="0" w:color="auto"/>
                    <w:bottom w:val="none" w:sz="0" w:space="0" w:color="auto"/>
                    <w:right w:val="none" w:sz="0" w:space="0" w:color="auto"/>
                  </w:divBdr>
                  <w:divsChild>
                    <w:div w:id="63375901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11465136">
              <w:blockQuote w:val="1"/>
              <w:marLeft w:val="400"/>
              <w:marRight w:val="0"/>
              <w:marTop w:val="160"/>
              <w:marBottom w:val="200"/>
              <w:divBdr>
                <w:top w:val="none" w:sz="0" w:space="0" w:color="auto"/>
                <w:left w:val="none" w:sz="0" w:space="0" w:color="auto"/>
                <w:bottom w:val="none" w:sz="0" w:space="0" w:color="auto"/>
                <w:right w:val="none" w:sz="0" w:space="0" w:color="auto"/>
              </w:divBdr>
            </w:div>
            <w:div w:id="138688946">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895822251">
                  <w:marLeft w:val="0"/>
                  <w:marRight w:val="0"/>
                  <w:marTop w:val="0"/>
                  <w:marBottom w:val="0"/>
                  <w:divBdr>
                    <w:top w:val="none" w:sz="0" w:space="0" w:color="auto"/>
                    <w:left w:val="none" w:sz="0" w:space="0" w:color="auto"/>
                    <w:bottom w:val="none" w:sz="0" w:space="0" w:color="auto"/>
                    <w:right w:val="none" w:sz="0" w:space="0" w:color="auto"/>
                  </w:divBdr>
                  <w:divsChild>
                    <w:div w:id="17192776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55078289">
                  <w:marLeft w:val="0"/>
                  <w:marRight w:val="0"/>
                  <w:marTop w:val="0"/>
                  <w:marBottom w:val="0"/>
                  <w:divBdr>
                    <w:top w:val="none" w:sz="0" w:space="0" w:color="auto"/>
                    <w:left w:val="none" w:sz="0" w:space="0" w:color="auto"/>
                    <w:bottom w:val="none" w:sz="0" w:space="0" w:color="auto"/>
                    <w:right w:val="none" w:sz="0" w:space="0" w:color="auto"/>
                  </w:divBdr>
                  <w:divsChild>
                    <w:div w:id="6596512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89457577">
                  <w:marLeft w:val="0"/>
                  <w:marRight w:val="0"/>
                  <w:marTop w:val="0"/>
                  <w:marBottom w:val="0"/>
                  <w:divBdr>
                    <w:top w:val="none" w:sz="0" w:space="0" w:color="auto"/>
                    <w:left w:val="none" w:sz="0" w:space="0" w:color="auto"/>
                    <w:bottom w:val="none" w:sz="0" w:space="0" w:color="auto"/>
                    <w:right w:val="none" w:sz="0" w:space="0" w:color="auto"/>
                  </w:divBdr>
                  <w:divsChild>
                    <w:div w:id="84655274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14003150">
              <w:blockQuote w:val="1"/>
              <w:marLeft w:val="400"/>
              <w:marRight w:val="0"/>
              <w:marTop w:val="160"/>
              <w:marBottom w:val="200"/>
              <w:divBdr>
                <w:top w:val="none" w:sz="0" w:space="0" w:color="auto"/>
                <w:left w:val="none" w:sz="0" w:space="0" w:color="auto"/>
                <w:bottom w:val="none" w:sz="0" w:space="0" w:color="auto"/>
                <w:right w:val="none" w:sz="0" w:space="0" w:color="auto"/>
              </w:divBdr>
            </w:div>
            <w:div w:id="2139250636">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901164729">
                  <w:marLeft w:val="0"/>
                  <w:marRight w:val="0"/>
                  <w:marTop w:val="0"/>
                  <w:marBottom w:val="0"/>
                  <w:divBdr>
                    <w:top w:val="none" w:sz="0" w:space="0" w:color="auto"/>
                    <w:left w:val="none" w:sz="0" w:space="0" w:color="auto"/>
                    <w:bottom w:val="none" w:sz="0" w:space="0" w:color="auto"/>
                    <w:right w:val="none" w:sz="0" w:space="0" w:color="auto"/>
                  </w:divBdr>
                  <w:divsChild>
                    <w:div w:id="28300125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01818925">
                  <w:marLeft w:val="0"/>
                  <w:marRight w:val="0"/>
                  <w:marTop w:val="0"/>
                  <w:marBottom w:val="0"/>
                  <w:divBdr>
                    <w:top w:val="none" w:sz="0" w:space="0" w:color="auto"/>
                    <w:left w:val="none" w:sz="0" w:space="0" w:color="auto"/>
                    <w:bottom w:val="none" w:sz="0" w:space="0" w:color="auto"/>
                    <w:right w:val="none" w:sz="0" w:space="0" w:color="auto"/>
                  </w:divBdr>
                  <w:divsChild>
                    <w:div w:id="19538279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83892729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336736753">
                  <w:marLeft w:val="0"/>
                  <w:marRight w:val="0"/>
                  <w:marTop w:val="0"/>
                  <w:marBottom w:val="0"/>
                  <w:divBdr>
                    <w:top w:val="none" w:sz="0" w:space="0" w:color="auto"/>
                    <w:left w:val="none" w:sz="0" w:space="0" w:color="auto"/>
                    <w:bottom w:val="none" w:sz="0" w:space="0" w:color="auto"/>
                    <w:right w:val="none" w:sz="0" w:space="0" w:color="auto"/>
                  </w:divBdr>
                  <w:divsChild>
                    <w:div w:id="7067540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22086500">
                  <w:marLeft w:val="0"/>
                  <w:marRight w:val="0"/>
                  <w:marTop w:val="0"/>
                  <w:marBottom w:val="0"/>
                  <w:divBdr>
                    <w:top w:val="none" w:sz="0" w:space="0" w:color="auto"/>
                    <w:left w:val="none" w:sz="0" w:space="0" w:color="auto"/>
                    <w:bottom w:val="none" w:sz="0" w:space="0" w:color="auto"/>
                    <w:right w:val="none" w:sz="0" w:space="0" w:color="auto"/>
                  </w:divBdr>
                  <w:divsChild>
                    <w:div w:id="21169449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86744609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81190151">
                  <w:marLeft w:val="0"/>
                  <w:marRight w:val="0"/>
                  <w:marTop w:val="0"/>
                  <w:marBottom w:val="0"/>
                  <w:divBdr>
                    <w:top w:val="none" w:sz="0" w:space="0" w:color="auto"/>
                    <w:left w:val="none" w:sz="0" w:space="0" w:color="auto"/>
                    <w:bottom w:val="none" w:sz="0" w:space="0" w:color="auto"/>
                    <w:right w:val="none" w:sz="0" w:space="0" w:color="auto"/>
                  </w:divBdr>
                  <w:divsChild>
                    <w:div w:id="36791927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09123555">
                  <w:marLeft w:val="0"/>
                  <w:marRight w:val="0"/>
                  <w:marTop w:val="0"/>
                  <w:marBottom w:val="0"/>
                  <w:divBdr>
                    <w:top w:val="none" w:sz="0" w:space="0" w:color="auto"/>
                    <w:left w:val="none" w:sz="0" w:space="0" w:color="auto"/>
                    <w:bottom w:val="none" w:sz="0" w:space="0" w:color="auto"/>
                    <w:right w:val="none" w:sz="0" w:space="0" w:color="auto"/>
                  </w:divBdr>
                  <w:divsChild>
                    <w:div w:id="8369244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0758036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860466001">
                  <w:marLeft w:val="0"/>
                  <w:marRight w:val="0"/>
                  <w:marTop w:val="0"/>
                  <w:marBottom w:val="0"/>
                  <w:divBdr>
                    <w:top w:val="none" w:sz="0" w:space="0" w:color="auto"/>
                    <w:left w:val="none" w:sz="0" w:space="0" w:color="auto"/>
                    <w:bottom w:val="none" w:sz="0" w:space="0" w:color="auto"/>
                    <w:right w:val="none" w:sz="0" w:space="0" w:color="auto"/>
                  </w:divBdr>
                  <w:divsChild>
                    <w:div w:id="7861927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99638655">
                  <w:marLeft w:val="0"/>
                  <w:marRight w:val="0"/>
                  <w:marTop w:val="0"/>
                  <w:marBottom w:val="0"/>
                  <w:divBdr>
                    <w:top w:val="none" w:sz="0" w:space="0" w:color="auto"/>
                    <w:left w:val="none" w:sz="0" w:space="0" w:color="auto"/>
                    <w:bottom w:val="none" w:sz="0" w:space="0" w:color="auto"/>
                    <w:right w:val="none" w:sz="0" w:space="0" w:color="auto"/>
                  </w:divBdr>
                  <w:divsChild>
                    <w:div w:id="11054256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60824313">
                  <w:marLeft w:val="0"/>
                  <w:marRight w:val="0"/>
                  <w:marTop w:val="0"/>
                  <w:marBottom w:val="0"/>
                  <w:divBdr>
                    <w:top w:val="none" w:sz="0" w:space="0" w:color="auto"/>
                    <w:left w:val="none" w:sz="0" w:space="0" w:color="auto"/>
                    <w:bottom w:val="none" w:sz="0" w:space="0" w:color="auto"/>
                    <w:right w:val="none" w:sz="0" w:space="0" w:color="auto"/>
                  </w:divBdr>
                  <w:divsChild>
                    <w:div w:id="153369076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69969076">
                  <w:marLeft w:val="0"/>
                  <w:marRight w:val="0"/>
                  <w:marTop w:val="0"/>
                  <w:marBottom w:val="0"/>
                  <w:divBdr>
                    <w:top w:val="none" w:sz="0" w:space="0" w:color="auto"/>
                    <w:left w:val="none" w:sz="0" w:space="0" w:color="auto"/>
                    <w:bottom w:val="none" w:sz="0" w:space="0" w:color="auto"/>
                    <w:right w:val="none" w:sz="0" w:space="0" w:color="auto"/>
                  </w:divBdr>
                  <w:divsChild>
                    <w:div w:id="70675615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16804785">
                  <w:marLeft w:val="0"/>
                  <w:marRight w:val="0"/>
                  <w:marTop w:val="0"/>
                  <w:marBottom w:val="0"/>
                  <w:divBdr>
                    <w:top w:val="none" w:sz="0" w:space="0" w:color="auto"/>
                    <w:left w:val="none" w:sz="0" w:space="0" w:color="auto"/>
                    <w:bottom w:val="none" w:sz="0" w:space="0" w:color="auto"/>
                    <w:right w:val="none" w:sz="0" w:space="0" w:color="auto"/>
                  </w:divBdr>
                  <w:divsChild>
                    <w:div w:id="207751250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heme1">
  <a:themeElements>
    <a:clrScheme name="BCC">
      <a:dk1>
        <a:srgbClr val="000000"/>
      </a:dk1>
      <a:lt1>
        <a:srgbClr val="FFFFFF"/>
      </a:lt1>
      <a:dk2>
        <a:srgbClr val="1E75BA"/>
      </a:dk2>
      <a:lt2>
        <a:srgbClr val="A0A09A"/>
      </a:lt2>
      <a:accent1>
        <a:srgbClr val="FCB319"/>
      </a:accent1>
      <a:accent2>
        <a:srgbClr val="E70E8A"/>
      </a:accent2>
      <a:accent3>
        <a:srgbClr val="00B3E4"/>
      </a:accent3>
      <a:accent4>
        <a:srgbClr val="8BC640"/>
      </a:accent4>
      <a:accent5>
        <a:srgbClr val="EF3942"/>
      </a:accent5>
      <a:accent6>
        <a:srgbClr val="FDDB03"/>
      </a:accent6>
      <a:hlink>
        <a:srgbClr val="0070C0"/>
      </a:hlink>
      <a:folHlink>
        <a:srgbClr val="002060"/>
      </a:folHlink>
    </a:clrScheme>
    <a:fontScheme name="BC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chemeClr val="accent1"/>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eme1" id="{F5BCFE7A-5F7F-4EF2-BF9A-1A0615A44841}" vid="{87BB3A6A-82C7-408E-8C2B-6D9D1D05E07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q1:RibbonSettings xmlns:q1="http://schemas.macroview.com.au/ribbonsettings">
  <q1:IsToggleLetterheadVisible>true</q1:IsToggleLetterheadVisible>
</q1:RibbonSettings>
</file>

<file path=customXml/item2.xml>��< ? x m l   v e r s i o n = " 1 . 0 "   e n c o d i n g = " u t f - 1 6 " ? > < q 1 : O f f i c e   x m l n s : q 1 = " h t t p : / / s c h e m a s . m a c r o v i e w . c o m . a u / o f f i c e " >  
     < q 1 : C C D e l i v e r y I t e m s >  
         < q 1 : s t r i n g > B y   e m a i l < / q 1 : s t r i n g >  
         < q 1 : s t r i n g > B y   f a c s i m i l e < / q 1 : s t r i n g >  
         < q 1 : s t r i n g > B y   o t h e r < / q 1 : s t r i n g >  
     < / q 1 : C C D e l i v e r y I t e m s >  
     < q 1 : C r e a t e d T i m e > 0 0 0 1 - 0 1 - 0 1 T 0 0 : 0 0 : 0 0 < / q 1 : C r e a t e d T i m e >  
     < q 1 : C u l t u r e S t r i n g s >  
         < q 1 : A t t e n t i o n > A t t e n t i o n < / q 1 : A t t e n t i o n >  
         < q 1 : B e g i n T y p i n g H e r e > B e g i n   t y p i n g   h e r e < / q 1 : B e g i n T y p i n g H e r e >  
         < q 1 : C C > C C < / q 1 : C C >  
         < q 1 : D e a r > D e a r < / q 1 : D e a r >  
         < q 1 : E n c l o s u r e > E n c l < / q 1 : E n c l o s u r e >  
         < q 1 : O t h e r C o n t a c t > O t h e r   c o n t a c t < / q 1 : O t h e r C o n t a c t >  
         < q 1 : O u r R e f > O u r   r e f < / q 1 : O u r R e f >  
         < q 1 : Y o u r R e f > Y o u r   r e f < / q 1 : Y o u r R e f >  
         < q 1 : E x e c u t i v e S u m m a r y > E x e c u t i v e   S u m m a r y < / q 1 : E x e c u t i v e S u m m a r y >  
         < q 1 : P r e p a r e d F o r > P r e p a r e d   f o r < / q 1 : P r e p a r e d F o r >  
         < q 1 : T a b l e O f C o n t e n t s > T a b l e   o f   c o n t e n t s < / q 1 : T a b l e O f C o n t e n t s >  
         < q 1 : T y p e > T y p e < / q 1 : T y p e >  
         < q 1 : T i t l e > T i t l e < / q 1 : T i t l e >  
         < q 1 : D a t e > D a t e < / q 1 : D a t e >  
         < q 1 : P a r t i e s > P a r t i e s < / q 1 : P a r t i e s >  
         < q 1 : R e c i t a l s > R e c i t a l s < / q 1 : R e c i t a l s >  
         < q 1 : O p e r a t i v e P r o v i s i o n s > O p e r a t i v e   p r o v i s i o n s < / q 1 : O p e r a t i v e P r o v i s i o n s >  
         < q 1 : E x e c u t i o n > E x e c u t i o n < / q 1 : E x e c u t i o n >  
         < q 1 : E x e c u t e d > E x e c u t e d < / q 1 : E x e c u t e d >  
         < q 1 : I n s e r t A p p r o p r i a t e E x e c u t i o n C l a u s e F o r E a c h P a r t y H e r e > I n s e r t   a p p r o p r i a t e   e x e c u t i o n   c l a u s e   f o r   e a c h   p a r t y   h e r e < / q 1 : I n s e r t A p p r o p r i a t e E x e c u t i o n C l a u s e F o r E a c h P a r t y H e r e >  
         < q 1 : S i g n o f f N a m e > N a m e < / q 1 : S i g n o f f N a m e >  
         < q 1 : S i g n o f f T i t l e > T i t l e < / q 1 : S i g n o f f T i t l e >  
         < q 1 : S i g n o f f B y > B y < / q 1 : S i g n o f f B y >  
     < / q 1 : C u l t u r e S t r i n g s >  
     < q 1 : D e f a u l t S i g n o f f > Y o u r s   f a i t h f u l l y < / q 1 : D e f a u l t S i g n o f f >  
     < q 1 : D i s p l a y I n E x c e l > t r u e < / q 1 : D i s p l a y I n E x c e l >  
     < q 1 : D i s p l a y I n O u t l o o k > t r u e < / q 1 : D i s p l a y I n O u t l o o k >  
     < q 1 : D i s p l a y I n P o w e r P o i n t > t r u e < / q 1 : D i s p l a y I n P o w e r P o i n t >  
     < q 1 : D i s p l a y I n W o r d > t r u e < / q 1 : D i s p l a y I n W o r d >  
     < q 1 : D x A d d r e s s > D X   8 1 1 7   B l a c k t o w n < / q 1 : D x A d d r e s s >  
     < q 1 : E m a i l > c o u n c i l @ b l a c k t o w n . n s w . g o v . a u < / q 1 : E m a i l >  
     < q 1 : E m a i l S i g n a t u r e >  
         < q 1 : N a m e > B l a c k t o w n   C i t y   C o u n c i l < / q 1 : N a m e >  
         < q 1 : B u i l d i n g B l o c k N a m e > B l a c k t o w n   C i t y   C o u n c i l < / q 1 : B u i l d i n g B l o c k N a m e >  
         < q 1 : T e x t T e m p l a t e > T e x t T e m p l a t e . t x t < / q 1 : T e x t T e m p l a t e >  
     < / q 1 : E m a i l S i g n a t u r e >  
     < q 1 : E x c l u d e d T e m p l a t e s >  
         < q 1 : s t r i n g > B l a n k   D o c u m e n t < / q 1 : s t r i n g >  
     < / q 1 : E x c l u d e d T e m p l a t e s >  
     < q 1 : F a c e b o o k U r l > h t t p s : / / f a c e b o o k . c o m / B l a c k t o w n C i t y C o u n c i l < / q 1 : F a c e b o o k U r l >  
     < q 1 : I n s t a g r a m U r l > h t t p s : / / w w w . i n s t a g r a m . c o m / B l a c k t o w n C i t y C o u n c i l < / q 1 : I n s t a g r a m U r l >  
     < q 1 : L e g a l N o t i c e I t e m s >  
         < q 1 : s t r i n g > P e r s o n a l < / q 1 : s t r i n g >  
         < q 1 : s t r i n g > P r i v a t e   a n d   c o n f i d e n t i a l < / q 1 : s t r i n g >  
         < q 1 : s t r i n g > P r i v i l e g e d < / q 1 : s t r i n g >  
         < q 1 : s t r i n g > P r i v i l e g e d   a n d   c o n f i d e n t i a l < / q 1 : s t r i n g >  
         < q 1 : s t r i n g > S u b j e c t   t o   l e g a l   p r o f e s s i o n a l   p r i v i l e g e < / q 1 : s t r i n g >  
         < q 1 : s t r i n g > W i t h o u t   p r e j u d i c e < / q 1 : s t r i n g >  
     < / q 1 : L e g a l N o t i c e I t e m s >  
     < q 1 : L e t t e r h e a d >  
         < q 1 : F o o t e r P a r a g r a p h S p a c e B e f o r e > 0 < / q 1 : F o o t e r P a r a g r a p h S p a c e B e f o r e >  
         < q 1 : H e a d e r P a r a g r a p h S p a c e A f t e r > 0 < / q 1 : H e a d e r P a r a g r a p h S p a c e A f t e r >  
     < / q 1 : L e t t e r h e a d >  
     < q 1 : L o g o >  
         < q 1 : H e i g h t > 1 0 0 < / q 1 : H e i g h t >  
         < q 1 : N a m e > B l a c k t o w n   C i t y   C o u n c i l   P o r t r a i t . p n g < / q 1 : N a m e >  
     < / q 1 : L o g o >  
     < q 1 : L o n g D a t e F o r m a t > d   M M M M   y y y y < / q 1 : L o n g D a t e F o r m a t >  
     < q 1 : M o d i f i e d T i m e > 0 0 0 1 - 0 1 - 0 1 T 0 0 : 0 0 : 0 0 < / q 1 : M o d i f i e d T i m e >  
     < q 1 : N a m e > B l a c k t o w n   C i t y   C o u n c i l < / q 1 : N a m e >  
     < q 1 : P a p e r S i z e   d 2 p 1 : n i l = " t r u e "   x m l n s : d 2 p 1 = " h t t p : / / w w w . w 3 . o r g / 2 0 0 1 / X M L S c h e m a - i n s t a n c e " / >  
     < q 1 : P h o n e N u m b e r > 9 8 3 9   6 0 0 0 < / q 1 : P h o n e N u m b e r >  
     < q 1 : P o s t a l A d d r e s s >  
         < q 1 : A d d r e s s 1 > P O   B o x   6 3 < / q 1 : A d d r e s s 1 >  
         < q 1 : C i t y > B l a c k t o w n < / q 1 : C i t y >  
         < q 1 : C o u n t r y > A u s t r a l i a < / q 1 : C o u n t r y >  
         < q 1 : P o s t a l C o d e > 2 1 4 8 < / q 1 : P o s t a l C o d e >  
         < q 1 : S t a t e > N S W < / q 1 : S t a t e >  
         < q 1 : T y p e > M a i l i n g A d d r e s s < / q 1 : T y p e >  
     < / q 1 : P o s t a l A d d r e s s >  
     < q 1 : P r i m a r y P a g e F o o t e r B u i l d i n g B l o c k > B l a c k t o w n   C i t y   C o u n c i l < / q 1 : P r i m a r y P a g e F o o t e r B u i l d i n g B l o c k >  
     < q 1 : P r i m a r y P a g e H e a d e r B u i l d i n g B l o c k > B l a c k t o w n   C i t y   C o u n c i l < / q 1 : P r i m a r y P a g e H e a d e r B u i l d i n g B l o c k >  
     < q 1 : P r i v a c y I t e m s >  
         < q 1 : s t r i n g > C o m m e r c i a l   i n   c o n f i d e n c e < / q 1 : s t r i n g >  
         < q 1 : s t r i n g > P r i v a t e   a n d   c o n f i d e n t i a l < / q 1 : s t r i n g >  
     < / q 1 : P r i v a c y I t e m s >  
     < q 1 : R e c i p i e n t D e l i v e r y I t e m s >  
         < q 1 : s t r i n g > B y   c e r t i f i e d   m a i l < / q 1 : s t r i n g >  
         < q 1 : s t r i n g > B y   c o u r i e r < / q 1 : s t r i n g >  
         < q 1 : s t r i n g > B y   e m a i l < / q 1 : s t r i n g >  
         < q 1 : s t r i n g > B y   e x p r e s s   p o s t < / q 1 : s t r i n g >  
         < q 1 : s t r i n g > B y   f a c s i m i l e < / q 1 : s t r i n g >  
         < q 1 : s t r i n g > B y   h a n d < / q 1 : s t r i n g >  
         < q 1 : s t r i n g > B y   r e g i s t e r e d   m a i l < / q 1 : s t r i n g >  
     < / q 1 : R e c i p i e n t D e l i v e r y I t e m s >  
     < q 1 : S a l u t a t i o n I t e m s >  
         < q 1 : s t r i n g > D r < / q 1 : s t r i n g >  
         < q 1 : s t r i n g > M i s s < / q 1 : s t r i n g >  
         < q 1 : s t r i n g > M r < / q 1 : s t r i n g >  
         < q 1 : s t r i n g > M r s < / q 1 : s t r i n g >  
         < q 1 : s t r i n g > M s < / q 1 : s t r i n g >  
         < q 1 : s t r i n g > P r o f < / q 1 : s t r i n g >  
         < q 1 : s t r i n g > S i r   o r   M a d a m < / q 1 : s t r i n g >  
     < / q 1 : S a l u t a t i o n I t e m s >  
     < q 1 : S i g n o f f I t e m s >  
         < q 1 : s t r i n g > Y o u r s   f a i t h f u l l y < / q 1 : s t r i n g >  
         < q 1 : s t r i n g > Y o u r s   s i n c e r e l y < / q 1 : s t r i n g >  
     < / q 1 : S i g n o f f I t e m s >  
     < q 1 : S t r e e t A d d r e s s >  
         < q 1 : A d d r e s s 1 > 6 2   F l u s h c o m b e   R o a d < / q 1 : A d d r e s s 1 >  
         < q 1 : C i t y > B l a c k t o w n < / q 1 : C i t y >  
         < q 1 : C o u n t r y > A u s t r a l i a < / q 1 : C o u n t r y >  
         < q 1 : P o s t a l C o d e > 2 1 4 8 < / q 1 : P o s t a l C o d e >  
         < q 1 : S t a t e > N S W < / q 1 : S t a t e >  
         < q 1 : T y p e > M a i l i n g A d d r e s s < / q 1 : T y p e >  
     < / q 1 : S t r e e t A d d r e s s >  
     < q 1 : T w i t t e r U r l > h t t p s : / / t w i t t e r . c o m / b l a c k t o w n c c < / q 1 : T w i t t e r U r l >  
     < q 1 : W e b s i t e > w w w . b l a c k t o w n . n s w . g o v . a u < / q 1 : W e b s i t e >  
     < q 1 : Y o u t u b e U r l > h t t p s : / / w w w . y o u t u b e . c o m / u s e r / B l a c k t o w n C i t y C o u n c i l < / q 1 : Y o u t u b e U r l >  
 < / q 1 : O f f i c e > 
</file>

<file path=customXml/itemProps1.xml><?xml version="1.0" encoding="utf-8"?>
<ds:datastoreItem xmlns:ds="http://schemas.openxmlformats.org/officeDocument/2006/customXml" ds:itemID="{EA3B3157-F31C-47DC-8F9E-296500226810}">
  <ds:schemaRefs>
    <ds:schemaRef ds:uri="http://schemas.macroview.com.au/ribbonsettings"/>
  </ds:schemaRefs>
</ds:datastoreItem>
</file>

<file path=customXml/itemProps2.xml><?xml version="1.0" encoding="utf-8"?>
<ds:datastoreItem xmlns:ds="http://schemas.openxmlformats.org/officeDocument/2006/customXml" ds:itemID="{F79DDB07-1571-4F7F-9A16-BC10EB592096}">
  <ds:schemaRefs>
    <ds:schemaRef ds:uri="http://schemas.macroview.com.au/offic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12559</Words>
  <Characters>71592</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Middlemiss</dc:creator>
  <cp:keywords/>
  <dc:description/>
  <cp:lastModifiedBy>Glenda Dunn</cp:lastModifiedBy>
  <cp:revision>2</cp:revision>
  <cp:lastPrinted>2022-06-08T07:25:00Z</cp:lastPrinted>
  <dcterms:created xsi:type="dcterms:W3CDTF">2022-07-04T05:54:00Z</dcterms:created>
  <dcterms:modified xsi:type="dcterms:W3CDTF">2022-07-04T05:54:00Z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Template">
    <vt:lpwstr>\Other\Blank Document.dotx</vt:lpwstr>
  </property>
</Properties>
</file>